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br/>
        <w:br/>
      </w:r>
      <w:r>
        <w:rPr>
          <w:rFonts w:ascii="Arial" w:hAnsi="Arial" w:eastAsia="Arial"/>
          <w:b/>
          <w:color w:val="5B9BD5"/>
          <w:sz w:val="26"/>
        </w:rPr>
        <w:t>ФИНАНСОВАЯ АНАЛИТИКА</w:t>
      </w:r>
    </w:p>
    <w:p>
      <w:pPr>
        <w:jc w:val="center"/>
      </w:pPr>
      <w:r>
        <w:rPr>
          <w:rFonts w:ascii="Arial" w:hAnsi="Arial" w:eastAsia="Arial"/>
          <w:b/>
          <w:color w:val="1F4E78"/>
          <w:sz w:val="52"/>
        </w:rPr>
        <w:t>ТСН «Фирсановка Лайф»</w:t>
      </w:r>
    </w:p>
    <w:p>
      <w:pPr>
        <w:jc w:val="center"/>
      </w:pPr>
      <w:r>
        <w:rPr>
          <w:rFonts w:ascii="Arial" w:hAnsi="Arial" w:eastAsia="Arial"/>
          <w:b/>
          <w:color w:val="1F2937"/>
          <w:sz w:val="34"/>
        </w:rPr>
        <w:t>Период май — июль 2026 года</w:t>
      </w:r>
    </w:p>
    <w:p>
      <w:pPr>
        <w:spacing w:before="280"/>
        <w:jc w:val="center"/>
      </w:pPr>
      <w:r>
        <w:rPr>
          <w:rFonts w:ascii="Arial" w:hAnsi="Arial" w:eastAsia="Arial"/>
          <w:color w:val="6B7280"/>
          <w:sz w:val="22"/>
        </w:rPr>
        <w:t>Предварительная независимая аналитическая справка по банковским расходам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c>
          <w:tcPr>
            <w:tcW w:type="dxa" w:w="10313"/>
            <w:shd w:fill="EAF3F8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  <w:insideH w:val="single" w:sz="8" w:space="0" w:color="5B9BD5"/>
              <w:insideV w:val="single" w:sz="8" w:space="0" w:color="5B9BD5"/>
            </w:tcBorders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20"/>
              </w:rPr>
              <w:t>Анализ охватывает три последовательных месяца, но не календарный квартал. В документе отдельно показаны кассовые списания и расходы по периоду возникновения.</w:t>
            </w:r>
          </w:p>
        </w:tc>
      </w:tr>
    </w:tbl>
    <w:p>
      <w:r>
        <w:br/>
      </w:r>
    </w:p>
    <w:p>
      <w:pPr>
        <w:jc w:val="center"/>
      </w:pPr>
      <w:r>
        <w:rPr>
          <w:rFonts w:ascii="Arial" w:hAnsi="Arial" w:eastAsia="Arial"/>
          <w:color w:val="6B7280"/>
          <w:sz w:val="18"/>
        </w:rPr>
        <w:t>Дата подготовки: 4 августа 2026 года</w:t>
      </w:r>
    </w:p>
    <w:p>
      <w:r>
        <w:br w:type="page"/>
      </w:r>
    </w:p>
    <w:p>
      <w:pPr>
        <w:pStyle w:val="Heading1"/>
      </w:pPr>
      <w:r>
        <w:t>Краткий вывод</w:t>
      </w:r>
    </w:p>
    <w:p>
      <w:pPr>
        <w:spacing w:after="60"/>
        <w:ind w:left="369" w:hanging="312"/>
      </w:pPr>
      <w:r>
        <w:rPr>
          <w:rFonts w:ascii="Arial" w:hAnsi="Arial" w:eastAsia="Arial"/>
          <w:sz w:val="19"/>
        </w:rPr>
        <w:t xml:space="preserve">1.  </w:t>
      </w:r>
      <w:r>
        <w:rPr>
          <w:rFonts w:ascii="Arial" w:hAnsi="Arial" w:eastAsia="Arial"/>
          <w:sz w:val="19"/>
        </w:rPr>
        <w:t>Достоверно установлены 210 банковских операций на общую сумму 6 468 529,09 ₽: май — 1 961 435,66 ₽, июнь — 2 016 018,47 ₽, июль — 2 491 074,96 ₽. Контрольные суммы операций совпали с заданными контрольными значениями.</w:t>
      </w:r>
    </w:p>
    <w:p>
      <w:pPr>
        <w:spacing w:after="60"/>
        <w:ind w:left="369" w:hanging="312"/>
      </w:pPr>
      <w:r>
        <w:rPr>
          <w:rFonts w:ascii="Arial" w:hAnsi="Arial" w:eastAsia="Arial"/>
          <w:sz w:val="19"/>
        </w:rPr>
        <w:t xml:space="preserve">2.  </w:t>
      </w:r>
      <w:r>
        <w:rPr>
          <w:rFonts w:ascii="Arial" w:hAnsi="Arial" w:eastAsia="Arial"/>
          <w:sz w:val="19"/>
        </w:rPr>
        <w:t>Невозможно достоверно установить начисления жителям, фактические поступления, собираемость, прирост задолженности, остаток денежных средств, кредиторскую задолженность и свободный денежный остаток: представлены выборки списаний с нулевым кредитовым оборотом, а не полные банковские выписки и учетные регистры.</w:t>
      </w:r>
    </w:p>
    <w:p>
      <w:pPr>
        <w:spacing w:after="60"/>
        <w:ind w:left="369" w:hanging="312"/>
      </w:pPr>
      <w:r>
        <w:rPr>
          <w:rFonts w:ascii="Arial" w:hAnsi="Arial" w:eastAsia="Arial"/>
          <w:sz w:val="19"/>
        </w:rPr>
        <w:t xml:space="preserve">3.  </w:t>
      </w:r>
      <w:r>
        <w:rPr>
          <w:rFonts w:ascii="Arial" w:hAnsi="Arial" w:eastAsia="Arial"/>
          <w:sz w:val="19"/>
        </w:rPr>
        <w:t>Главная финансовая тенденция — рост кассовой нагрузки в июле: расходы увеличились на 23,6% к июню и на 27,0% к маю. При этом 2 553 342,72 ₽, или 39,5% всех списаний, относятся к периодам до мая 2026 года, то есть значительная часть платежей погашает более ранние обязательства.</w:t>
      </w:r>
    </w:p>
    <w:p>
      <w:pPr>
        <w:spacing w:after="60"/>
        <w:ind w:left="369" w:hanging="312"/>
      </w:pPr>
      <w:r>
        <w:rPr>
          <w:rFonts w:ascii="Arial" w:hAnsi="Arial" w:eastAsia="Arial"/>
          <w:sz w:val="19"/>
        </w:rPr>
        <w:t xml:space="preserve">4.  </w:t>
      </w:r>
      <w:r>
        <w:rPr>
          <w:rFonts w:ascii="Arial" w:hAnsi="Arial" w:eastAsia="Arial"/>
          <w:sz w:val="19"/>
        </w:rPr>
        <w:t>Первоочередного пояснения требуют: возможный дубль двух платежей по 53 500 ₽; просроченные оплаты электроэнергии; 50 000 ₽ по мировому соглашению с ООО «ПРО-ЭКС»; 47 операций по корпоративной карте на 113 437,61 ₽ без приложенных чеков; июльские проектные покупки на 215 805 ₽; платеж за дезинсекцию по счету 2022 года; расходы на КНС и возможные внебанковские обязательства по ремонту насосов.</w:t>
      </w:r>
    </w:p>
    <w:p>
      <w:pPr>
        <w:spacing w:after="60"/>
        <w:ind w:left="369" w:hanging="312"/>
      </w:pPr>
      <w:r>
        <w:rPr>
          <w:rFonts w:ascii="Arial" w:hAnsi="Arial" w:eastAsia="Arial"/>
          <w:sz w:val="19"/>
        </w:rPr>
        <w:t xml:space="preserve">5.  </w:t>
      </w:r>
      <w:r>
        <w:rPr>
          <w:rFonts w:ascii="Arial" w:hAnsi="Arial" w:eastAsia="Arial"/>
          <w:sz w:val="19"/>
        </w:rPr>
        <w:t>Необходимо запросить: полные выписки с поступлениями и остатками; утвержденную смету 2026 года и протокол; реестры начислений, оплат и задолженности; ОСВ; договоры, счета и акты; авансовые отчеты по карте; реестр кредиторской задолженности; реестр судебных дел; документы по расходам, оплаченным физическими лицами.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FFF2CC"/>
            <w:tcBorders>
              <w:top w:val="single" w:sz="8" w:space="0" w:color="D6B656"/>
              <w:left w:val="single" w:sz="8" w:space="0" w:color="D6B656"/>
              <w:bottom w:val="single" w:sz="8" w:space="0" w:color="D6B656"/>
              <w:right w:val="single" w:sz="8" w:space="0" w:color="D6B656"/>
              <w:insideH w:val="single" w:sz="8" w:space="0" w:color="D6B656"/>
              <w:insideV w:val="single" w:sz="8" w:space="0" w:color="D6B656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rFonts w:ascii="Arial" w:hAnsi="Arial" w:eastAsia="Arial"/>
                <w:b/>
                <w:color w:val="1F2937"/>
                <w:sz w:val="20"/>
              </w:rPr>
              <w:t>Ключевое ограничение</w:t>
              <w:br/>
            </w:r>
            <w:r>
              <w:rPr>
                <w:rFonts w:ascii="Arial" w:hAnsi="Arial" w:eastAsia="Arial"/>
                <w:color w:val="1F2937"/>
                <w:sz w:val="19"/>
              </w:rPr>
              <w:t>Представленные документы позволяют проанализировать расходы, но не позволяют достоверно рассчитать начисления, собираемость платежей, прирост задолженности и остаток денежных средств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EAF3F8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  <w:insideH w:val="single" w:sz="8" w:space="0" w:color="5B9BD5"/>
              <w:insideV w:val="single" w:sz="8" w:space="0" w:color="5B9BD5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rFonts w:ascii="Arial" w:hAnsi="Arial" w:eastAsia="Arial"/>
                <w:b/>
                <w:color w:val="1F2937"/>
                <w:sz w:val="20"/>
              </w:rPr>
              <w:t>Статус выводов</w:t>
              <w:br/>
            </w:r>
            <w:r>
              <w:rPr>
                <w:rFonts w:ascii="Arial" w:hAnsi="Arial" w:eastAsia="Arial"/>
                <w:color w:val="1F2937"/>
                <w:sz w:val="19"/>
              </w:rPr>
              <w:t>Факты о суммах, датах, контрагентах и назначениях основаны на банковских выгрузках. Периодизация и классификация являются расчетными выводами или обоснованными предположениями. Договоры, счета, акты, чеки, решения правления и реестры задолженности в наборе отсутствуют, поэтому документ не заменяет бухгалтерскую ревизию или обязательный аудит.</w:t>
            </w:r>
          </w:p>
        </w:tc>
      </w:tr>
    </w:tbl>
    <w:p>
      <w:pPr>
        <w:spacing w:after="0"/>
      </w:pPr>
    </w:p>
    <w:p>
      <w:pPr>
        <w:pStyle w:val="Heading1"/>
      </w:pPr>
      <w:r>
        <w:t>1. Резюме для жителей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8"/>
        <w:gridCol w:w="3438"/>
        <w:gridCol w:w="3438"/>
      </w:tblGrid>
      <w:tr>
        <w:trPr>
          <w:tblHeader w:val="true"/>
        </w:trPr>
        <w:tc>
          <w:tcPr>
            <w:tcW w:type="dxa" w:w="2381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Показатель</w:t>
            </w:r>
          </w:p>
        </w:tc>
        <w:tc>
          <w:tcPr>
            <w:tcW w:type="dxa" w:w="2268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Значение</w:t>
            </w:r>
          </w:p>
        </w:tc>
        <w:tc>
          <w:tcPr>
            <w:tcW w:type="dxa" w:w="4706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Что это означает</w:t>
            </w:r>
          </w:p>
        </w:tc>
      </w:tr>
      <w:tr>
        <w:trPr>
          <w:cantSplit/>
        </w:trPr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Начислено жителям</w:t>
            </w:r>
          </w:p>
        </w:tc>
        <w:tc>
          <w:tcPr>
            <w:tcW w:type="dxa" w:w="226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Не рассчитано</w:t>
            </w:r>
          </w:p>
        </w:tc>
        <w:tc>
          <w:tcPr>
            <w:tcW w:type="dxa" w:w="4706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Нет реестра начислений и утвержденного тарифа/сметы 2026 года.</w:t>
            </w:r>
          </w:p>
        </w:tc>
      </w:tr>
      <w:tr>
        <w:trPr>
          <w:cantSplit/>
        </w:trPr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Фактически поступило</w:t>
            </w:r>
          </w:p>
        </w:tc>
        <w:tc>
          <w:tcPr>
            <w:tcW w:type="dxa" w:w="226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Не рассчитано</w:t>
            </w:r>
          </w:p>
        </w:tc>
        <w:tc>
          <w:tcPr>
            <w:tcW w:type="dxa" w:w="4706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В предоставленных файлах кредитовый оборот равен нулю.</w:t>
            </w:r>
          </w:p>
        </w:tc>
      </w:tr>
      <w:tr>
        <w:trPr>
          <w:cantSplit/>
        </w:trPr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Собираемость и новый долг</w:t>
            </w:r>
          </w:p>
        </w:tc>
        <w:tc>
          <w:tcPr>
            <w:tcW w:type="dxa" w:w="226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Не рассчитано</w:t>
            </w:r>
          </w:p>
        </w:tc>
        <w:tc>
          <w:tcPr>
            <w:tcW w:type="dxa" w:w="4706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Нет реестров оплат и задолженности на начало/конец периода.</w:t>
            </w:r>
          </w:p>
        </w:tc>
      </w:tr>
      <w:tr>
        <w:trPr>
          <w:cantSplit/>
        </w:trPr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Кассовые расходы</w:t>
            </w:r>
          </w:p>
        </w:tc>
        <w:tc>
          <w:tcPr>
            <w:tcW w:type="dxa" w:w="226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6 468 529,09 ₽</w:t>
            </w:r>
          </w:p>
        </w:tc>
        <w:tc>
          <w:tcPr>
            <w:tcW w:type="dxa" w:w="4706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Фактические списания с расчетного счета по 210 операциям.</w:t>
            </w:r>
          </w:p>
        </w:tc>
      </w:tr>
      <w:tr>
        <w:trPr>
          <w:cantSplit/>
        </w:trPr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Расходы, относимые к маю—июлю</w:t>
            </w:r>
          </w:p>
        </w:tc>
        <w:tc>
          <w:tcPr>
            <w:tcW w:type="dxa" w:w="226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3 825 818,80 ₽</w:t>
            </w:r>
          </w:p>
        </w:tc>
        <w:tc>
          <w:tcPr>
            <w:tcW w:type="dxa" w:w="4706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Расчетная периодизация; часть дат услуги предположена по счету/назначению.</w:t>
            </w:r>
          </w:p>
        </w:tc>
      </w:tr>
      <w:tr>
        <w:trPr>
          <w:cantSplit/>
        </w:trPr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Оплата периодов до мая</w:t>
            </w:r>
          </w:p>
        </w:tc>
        <w:tc>
          <w:tcPr>
            <w:tcW w:type="dxa" w:w="226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2 553 342,72 ₽</w:t>
            </w:r>
          </w:p>
        </w:tc>
        <w:tc>
          <w:tcPr>
            <w:tcW w:type="dxa" w:w="4706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39,5% кассового расхода — погашение более ранних обязательств.</w:t>
            </w:r>
          </w:p>
        </w:tc>
      </w:tr>
      <w:tr>
        <w:trPr>
          <w:cantSplit/>
        </w:trPr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Крупные платежи свыше 50 тыс. ₽</w:t>
            </w:r>
          </w:p>
        </w:tc>
        <w:tc>
          <w:tcPr>
            <w:tcW w:type="dxa" w:w="226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44 операции / 5 368 194,51 ₽</w:t>
            </w:r>
          </w:p>
        </w:tc>
        <w:tc>
          <w:tcPr>
            <w:tcW w:type="dxa" w:w="4706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83,0% общих расходов.</w:t>
            </w:r>
          </w:p>
        </w:tc>
      </w:tr>
      <w:tr>
        <w:trPr>
          <w:cantSplit/>
        </w:trPr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Остаток и финансовая устойчивость</w:t>
            </w:r>
          </w:p>
        </w:tc>
        <w:tc>
          <w:tcPr>
            <w:tcW w:type="dxa" w:w="226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Не рассчитано</w:t>
            </w:r>
          </w:p>
        </w:tc>
        <w:tc>
          <w:tcPr>
            <w:tcW w:type="dxa" w:w="4706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Не раскрыты начальный/конечный остаток и неоплаченные обязательства.</w:t>
            </w:r>
          </w:p>
        </w:tc>
      </w:tr>
    </w:tbl>
    <w:p>
      <w:pPr>
        <w:spacing w:after="0"/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80000" cy="313875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onthly_cash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1387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Arial" w:hAnsi="Arial" w:eastAsia="Arial"/>
          <w:i/>
          <w:color w:val="6B7280"/>
          <w:sz w:val="17"/>
        </w:rPr>
        <w:t>Кассовые расходы по месяцам: июльская нагрузка заметно выше мая и июня.</w:t>
      </w:r>
    </w:p>
    <w:p>
      <w:pPr>
        <w:pStyle w:val="Heading1"/>
      </w:pPr>
      <w:r>
        <w:t>2. Полнота и качество исходных данных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6"/>
        <w:gridCol w:w="5156"/>
      </w:tblGrid>
      <w:tr>
        <w:trPr>
          <w:tblHeader w:val="true"/>
        </w:trPr>
        <w:tc>
          <w:tcPr>
            <w:tcW w:type="dxa" w:w="4649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Представлено</w:t>
            </w:r>
          </w:p>
        </w:tc>
        <w:tc>
          <w:tcPr>
            <w:tcW w:type="dxa" w:w="4649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Не представлено</w:t>
            </w:r>
          </w:p>
        </w:tc>
      </w:tr>
      <w:tr>
        <w:trPr>
          <w:cantSplit/>
        </w:trPr>
        <w:tc>
          <w:tcPr>
            <w:tcW w:type="dxa" w:w="464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Расходные банковские выгрузки за май, июнь и июль 2026 года; одностраничная смета доходов и расходов на 2025 год.</w:t>
            </w:r>
          </w:p>
        </w:tc>
        <w:tc>
          <w:tcPr>
            <w:tcW w:type="dxa" w:w="464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Смета 2024 года; утвержденная смета 2026 года; полные выписки с поступлениями и остатками; реестры начислений, оплат и задолженности; ОСВ; договоры, счета, акты; кадровые и зарплатные регистры; кредиторская задолженность; авансовые отчеты; реестр судебных дел; решения по отдельным расходам.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8"/>
        <w:gridCol w:w="3438"/>
        <w:gridCol w:w="3438"/>
      </w:tblGrid>
      <w:tr>
        <w:trPr>
          <w:tblHeader w:val="true"/>
        </w:trPr>
        <w:tc>
          <w:tcPr>
            <w:tcW w:type="dxa" w:w="3628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Показатель прозрачности</w:t>
            </w:r>
          </w:p>
        </w:tc>
        <w:tc>
          <w:tcPr>
            <w:tcW w:type="dxa" w:w="3515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Расчет</w:t>
            </w:r>
          </w:p>
        </w:tc>
        <w:tc>
          <w:tcPr>
            <w:tcW w:type="dxa" w:w="2268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Результат</w:t>
            </w:r>
          </w:p>
        </w:tc>
      </w:tr>
      <w:tr>
        <w:trPr>
          <w:cantSplit/>
        </w:trPr>
        <w:tc>
          <w:tcPr>
            <w:tcW w:type="dxa" w:w="362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Расходы с понятной предварительной статьей</w:t>
            </w:r>
          </w:p>
        </w:tc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(6 457 508,09 ₽) / 6 468 529,09 ₽</w:t>
            </w:r>
          </w:p>
        </w:tc>
        <w:tc>
          <w:tcPr>
            <w:tcW w:type="dxa" w:w="226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99,8%</w:t>
            </w:r>
          </w:p>
        </w:tc>
      </w:tr>
      <w:tr>
        <w:trPr>
          <w:cantSplit/>
        </w:trPr>
        <w:tc>
          <w:tcPr>
            <w:tcW w:type="dxa" w:w="362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Расходы с установленным/предположенным периодом</w:t>
            </w:r>
          </w:p>
        </w:tc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(6 385 861,29 ₽) / 6 468 529,09 ₽</w:t>
            </w:r>
          </w:p>
        </w:tc>
        <w:tc>
          <w:tcPr>
            <w:tcW w:type="dxa" w:w="226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98,7%</w:t>
            </w:r>
          </w:p>
        </w:tc>
      </w:tr>
      <w:tr>
        <w:trPr>
          <w:cantSplit/>
        </w:trPr>
        <w:tc>
          <w:tcPr>
            <w:tcW w:type="dxa" w:w="362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Расходы с реквизитами счета/акта/договора в назначении</w:t>
            </w:r>
          </w:p>
        </w:tc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5 236 782,45 ₽ / 6 468 529,09 ₽</w:t>
            </w:r>
          </w:p>
        </w:tc>
        <w:tc>
          <w:tcPr>
            <w:tcW w:type="dxa" w:w="226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81,0%</w:t>
            </w:r>
          </w:p>
        </w:tc>
      </w:tr>
      <w:tr>
        <w:trPr>
          <w:cantSplit/>
        </w:trPr>
        <w:tc>
          <w:tcPr>
            <w:tcW w:type="dxa" w:w="362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Операции по карте с приложенными чеками</w:t>
            </w:r>
          </w:p>
        </w:tc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Документы в наборе отсутствуют</w:t>
            </w:r>
          </w:p>
        </w:tc>
        <w:tc>
          <w:tcPr>
            <w:tcW w:type="dxa" w:w="226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0% подтверждено представленными материалами</w:t>
            </w:r>
          </w:p>
        </w:tc>
      </w:tr>
      <w:tr>
        <w:trPr>
          <w:cantSplit/>
        </w:trPr>
        <w:tc>
          <w:tcPr>
            <w:tcW w:type="dxa" w:w="362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Не классифицированные расходы</w:t>
            </w:r>
          </w:p>
        </w:tc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11 021,00 ₽</w:t>
            </w:r>
          </w:p>
        </w:tc>
        <w:tc>
          <w:tcPr>
            <w:tcW w:type="dxa" w:w="226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0,2%</w:t>
            </w:r>
          </w:p>
        </w:tc>
      </w:tr>
      <w:tr>
        <w:trPr>
          <w:cantSplit/>
        </w:trPr>
        <w:tc>
          <w:tcPr>
            <w:tcW w:type="dxa" w:w="362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Красные и желтые сигналы</w:t>
            </w:r>
          </w:p>
        </w:tc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3 679 913,54 ₽</w:t>
            </w:r>
          </w:p>
        </w:tc>
        <w:tc>
          <w:tcPr>
            <w:tcW w:type="dxa" w:w="226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56,9%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EAF3F8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  <w:insideH w:val="single" w:sz="8" w:space="0" w:color="5B9BD5"/>
              <w:insideV w:val="single" w:sz="8" w:space="0" w:color="5B9BD5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rFonts w:ascii="Arial" w:hAnsi="Arial" w:eastAsia="Arial"/>
                <w:b/>
                <w:color w:val="1F2937"/>
                <w:sz w:val="20"/>
              </w:rPr>
              <w:t>Важно</w:t>
              <w:br/>
            </w:r>
            <w:r>
              <w:rPr>
                <w:rFonts w:ascii="Arial" w:hAnsi="Arial" w:eastAsia="Arial"/>
                <w:color w:val="1F2937"/>
                <w:sz w:val="19"/>
              </w:rPr>
              <w:t>Наличие номера счета, акта или договора в банковском назначении не подтверждает фактическое наличие и содержание первичного документа. Показатель 81,0% отражает только качество назначения платежа.</w:t>
            </w:r>
          </w:p>
        </w:tc>
      </w:tr>
    </w:tbl>
    <w:p>
      <w:pPr>
        <w:spacing w:after="0"/>
      </w:pPr>
    </w:p>
    <w:p>
      <w:pPr>
        <w:pStyle w:val="Heading1"/>
      </w:pPr>
      <w:r>
        <w:t>3. Доходы, собираемость и задолженность</w:t>
      </w:r>
    </w:p>
    <w:p>
      <w:pPr>
        <w:spacing w:after="100"/>
      </w:pPr>
      <w:r>
        <w:rPr>
          <w:rFonts w:ascii="Arial" w:hAnsi="Arial" w:eastAsia="Arial"/>
          <w:sz w:val="20"/>
        </w:rPr>
        <w:t>Расчет невозможен. Представленные файлы содержат только дебетовые операции, кредитовый оборот равен нулю. Поэтому нельзя проверить ожидаемые начисления, поступления, собираемость, недосбор текущего месяца, погашение старого долга, новый долг и изменение задолженности.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6"/>
        <w:gridCol w:w="5156"/>
      </w:tblGrid>
      <w:tr>
        <w:trPr>
          <w:tblHeader w:val="true"/>
        </w:trPr>
        <w:tc>
          <w:tcPr>
            <w:tcW w:type="dxa" w:w="3402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Необходимый документ</w:t>
            </w:r>
          </w:p>
        </w:tc>
        <w:tc>
          <w:tcPr>
            <w:tcW w:type="dxa" w:w="6009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Какие показатели он позволит рассчитать</w:t>
            </w:r>
          </w:p>
        </w:tc>
      </w:tr>
      <w:tr>
        <w:trPr>
          <w:cantSplit/>
        </w:trPr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Реестр начислений за январь—июль 2026</w:t>
            </w:r>
          </w:p>
        </w:tc>
        <w:tc>
          <w:tcPr>
            <w:tcW w:type="dxa" w:w="600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Начисления по месяцам, структура тарифа, ожидаемый денежный поток.</w:t>
            </w:r>
          </w:p>
        </w:tc>
      </w:tr>
      <w:tr>
        <w:trPr>
          <w:cantSplit/>
        </w:trPr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Реестр фактических оплат с назначением периода</w:t>
            </w:r>
          </w:p>
        </w:tc>
        <w:tc>
          <w:tcPr>
            <w:tcW w:type="dxa" w:w="600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Собираемость текущих начислений и погашение старых долгов.</w:t>
            </w:r>
          </w:p>
        </w:tc>
      </w:tr>
      <w:tr>
        <w:trPr>
          <w:cantSplit/>
        </w:trPr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Задолженность на 01.05 и 31.07.2026</w:t>
            </w:r>
          </w:p>
        </w:tc>
        <w:tc>
          <w:tcPr>
            <w:tcW w:type="dxa" w:w="600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Новый долг, погашение, динамика и возрастная структура.</w:t>
            </w:r>
          </w:p>
        </w:tc>
      </w:tr>
      <w:tr>
        <w:trPr>
          <w:cantSplit/>
        </w:trPr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Полная банковская выписка</w:t>
            </w:r>
          </w:p>
        </w:tc>
        <w:tc>
          <w:tcPr>
            <w:tcW w:type="dxa" w:w="600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Поступления, остатки, внутрисчетовые операции, сверка с учетом.</w:t>
            </w:r>
          </w:p>
        </w:tc>
      </w:tr>
      <w:tr>
        <w:trPr>
          <w:cantSplit/>
        </w:trPr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ОСВ и лицевые счета</w:t>
            </w:r>
          </w:p>
        </w:tc>
        <w:tc>
          <w:tcPr>
            <w:tcW w:type="dxa" w:w="600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Сверка бухгалтерского учета с начислениями и банком.</w:t>
            </w:r>
          </w:p>
        </w:tc>
      </w:tr>
    </w:tbl>
    <w:p>
      <w:pPr>
        <w:spacing w:after="0"/>
      </w:pPr>
    </w:p>
    <w:p>
      <w:pPr>
        <w:pStyle w:val="Heading1"/>
      </w:pPr>
      <w:r>
        <w:t>4. Расходы по кассовому методу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8"/>
        <w:gridCol w:w="2578"/>
        <w:gridCol w:w="2578"/>
        <w:gridCol w:w="2578"/>
      </w:tblGrid>
      <w:tr>
        <w:trPr>
          <w:tblHeader w:val="true"/>
        </w:trPr>
        <w:tc>
          <w:tcPr>
            <w:tcW w:type="dxa" w:w="1928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Месяц</w:t>
            </w:r>
          </w:p>
        </w:tc>
        <w:tc>
          <w:tcPr>
            <w:tcW w:type="dxa" w:w="2494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Кассовые расходы</w:t>
            </w:r>
          </w:p>
        </w:tc>
        <w:tc>
          <w:tcPr>
            <w:tcW w:type="dxa" w:w="2835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Изменение к предыдущему месяцу</w:t>
            </w:r>
          </w:p>
        </w:tc>
        <w:tc>
          <w:tcPr>
            <w:tcW w:type="dxa" w:w="1814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Доля периода</w:t>
            </w:r>
          </w:p>
        </w:tc>
      </w:tr>
      <w:tr>
        <w:trPr>
          <w:cantSplit/>
        </w:trPr>
        <w:tc>
          <w:tcPr>
            <w:tcW w:type="dxa" w:w="192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Май 2026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1 961 435,66 ₽</w:t>
            </w:r>
          </w:p>
        </w:tc>
        <w:tc>
          <w:tcPr>
            <w:tcW w:type="dxa" w:w="283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—</w:t>
            </w:r>
          </w:p>
        </w:tc>
        <w:tc>
          <w:tcPr>
            <w:tcW w:type="dxa" w:w="181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30,3%</w:t>
            </w:r>
          </w:p>
        </w:tc>
      </w:tr>
      <w:tr>
        <w:trPr>
          <w:cantSplit/>
        </w:trPr>
        <w:tc>
          <w:tcPr>
            <w:tcW w:type="dxa" w:w="192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Июнь 2026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2 016 018,47 ₽</w:t>
            </w:r>
          </w:p>
        </w:tc>
        <w:tc>
          <w:tcPr>
            <w:tcW w:type="dxa" w:w="283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54 582,81 ₽</w:t>
            </w:r>
          </w:p>
        </w:tc>
        <w:tc>
          <w:tcPr>
            <w:tcW w:type="dxa" w:w="181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31,2%</w:t>
            </w:r>
          </w:p>
        </w:tc>
      </w:tr>
      <w:tr>
        <w:trPr>
          <w:cantSplit/>
        </w:trPr>
        <w:tc>
          <w:tcPr>
            <w:tcW w:type="dxa" w:w="192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Июль 2026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2 491 074,96 ₽</w:t>
            </w:r>
          </w:p>
        </w:tc>
        <w:tc>
          <w:tcPr>
            <w:tcW w:type="dxa" w:w="283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475 056,49 ₽</w:t>
            </w:r>
          </w:p>
        </w:tc>
        <w:tc>
          <w:tcPr>
            <w:tcW w:type="dxa" w:w="181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38,5%</w:t>
            </w:r>
          </w:p>
        </w:tc>
      </w:tr>
      <w:tr>
        <w:trPr>
          <w:cantSplit/>
        </w:trPr>
        <w:tc>
          <w:tcPr>
            <w:tcW w:type="dxa" w:w="192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Итого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6 468 529,09 ₽</w:t>
            </w:r>
          </w:p>
        </w:tc>
        <w:tc>
          <w:tcPr>
            <w:tcW w:type="dxa" w:w="283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—</w:t>
            </w:r>
          </w:p>
        </w:tc>
        <w:tc>
          <w:tcPr>
            <w:tcW w:type="dxa" w:w="181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100,0%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8"/>
        <w:gridCol w:w="2578"/>
        <w:gridCol w:w="2578"/>
        <w:gridCol w:w="2578"/>
      </w:tblGrid>
      <w:tr>
        <w:trPr>
          <w:tblHeader w:val="true"/>
        </w:trPr>
        <w:tc>
          <w:tcPr>
            <w:tcW w:type="dxa" w:w="4649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Категория</w:t>
            </w:r>
          </w:p>
        </w:tc>
        <w:tc>
          <w:tcPr>
            <w:tcW w:type="dxa" w:w="2154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Сумма</w:t>
            </w:r>
          </w:p>
        </w:tc>
        <w:tc>
          <w:tcPr>
            <w:tcW w:type="dxa" w:w="1247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Доля</w:t>
            </w:r>
          </w:p>
        </w:tc>
        <w:tc>
          <w:tcPr>
            <w:tcW w:type="dxa" w:w="1191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Операций</w:t>
            </w:r>
          </w:p>
        </w:tc>
      </w:tr>
      <w:tr>
        <w:trPr>
          <w:cantSplit/>
        </w:trPr>
        <w:tc>
          <w:tcPr>
            <w:tcW w:type="dxa" w:w="464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Фонд оплаты труда</w:t>
            </w:r>
          </w:p>
        </w:tc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2 823 697,48 ₽</w:t>
            </w:r>
          </w:p>
        </w:tc>
        <w:tc>
          <w:tcPr>
            <w:tcW w:type="dxa" w:w="124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43,7%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31</w:t>
            </w:r>
          </w:p>
        </w:tc>
      </w:tr>
      <w:tr>
        <w:trPr>
          <w:cantSplit/>
        </w:trPr>
        <w:tc>
          <w:tcPr>
            <w:tcW w:type="dxa" w:w="464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Коммунальная и инженерная инфраструктура</w:t>
            </w:r>
          </w:p>
        </w:tc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1 544 107,76 ₽</w:t>
            </w:r>
          </w:p>
        </w:tc>
        <w:tc>
          <w:tcPr>
            <w:tcW w:type="dxa" w:w="124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23,9%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15</w:t>
            </w:r>
          </w:p>
        </w:tc>
      </w:tr>
      <w:tr>
        <w:trPr>
          <w:cantSplit/>
        </w:trPr>
        <w:tc>
          <w:tcPr>
            <w:tcW w:type="dxa" w:w="464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Вывоз и обращение с отходами</w:t>
            </w:r>
          </w:p>
        </w:tc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706 551,61 ₽</w:t>
            </w:r>
          </w:p>
        </w:tc>
        <w:tc>
          <w:tcPr>
            <w:tcW w:type="dxa" w:w="124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10,9%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11</w:t>
            </w:r>
          </w:p>
        </w:tc>
      </w:tr>
      <w:tr>
        <w:trPr>
          <w:cantSplit/>
        </w:trPr>
        <w:tc>
          <w:tcPr>
            <w:tcW w:type="dxa" w:w="464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Материалы и эксплуатация</w:t>
            </w:r>
          </w:p>
        </w:tc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407 931,66 ₽</w:t>
            </w:r>
          </w:p>
        </w:tc>
        <w:tc>
          <w:tcPr>
            <w:tcW w:type="dxa" w:w="124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6,3%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44</w:t>
            </w:r>
          </w:p>
        </w:tc>
      </w:tr>
      <w:tr>
        <w:trPr>
          <w:cantSplit/>
        </w:trPr>
        <w:tc>
          <w:tcPr>
            <w:tcW w:type="dxa" w:w="464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Юридические расходы</w:t>
            </w:r>
          </w:p>
        </w:tc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336 000,00 ₽</w:t>
            </w:r>
          </w:p>
        </w:tc>
        <w:tc>
          <w:tcPr>
            <w:tcW w:type="dxa" w:w="124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5,2%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5</w:t>
            </w:r>
          </w:p>
        </w:tc>
      </w:tr>
      <w:tr>
        <w:trPr>
          <w:cantSplit/>
        </w:trPr>
        <w:tc>
          <w:tcPr>
            <w:tcW w:type="dxa" w:w="464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Бухгалтерия</w:t>
            </w:r>
          </w:p>
        </w:tc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320 400,00 ₽</w:t>
            </w:r>
          </w:p>
        </w:tc>
        <w:tc>
          <w:tcPr>
            <w:tcW w:type="dxa" w:w="124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5,0%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4</w:t>
            </w:r>
          </w:p>
        </w:tc>
      </w:tr>
      <w:tr>
        <w:trPr>
          <w:cantSplit/>
        </w:trPr>
        <w:tc>
          <w:tcPr>
            <w:tcW w:type="dxa" w:w="464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Капитальные и проектные расходы</w:t>
            </w:r>
          </w:p>
        </w:tc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215 805,00 ₽</w:t>
            </w:r>
          </w:p>
        </w:tc>
        <w:tc>
          <w:tcPr>
            <w:tcW w:type="dxa" w:w="124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3,3%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6</w:t>
            </w:r>
          </w:p>
        </w:tc>
      </w:tr>
      <w:tr>
        <w:trPr>
          <w:cantSplit/>
        </w:trPr>
        <w:tc>
          <w:tcPr>
            <w:tcW w:type="dxa" w:w="464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ИТ и связь</w:t>
            </w:r>
          </w:p>
        </w:tc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41 630,27 ₽</w:t>
            </w:r>
          </w:p>
        </w:tc>
        <w:tc>
          <w:tcPr>
            <w:tcW w:type="dxa" w:w="124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0,6%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14</w:t>
            </w:r>
          </w:p>
        </w:tc>
      </w:tr>
      <w:tr>
        <w:trPr>
          <w:cantSplit/>
        </w:trPr>
        <w:tc>
          <w:tcPr>
            <w:tcW w:type="dxa" w:w="464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Транспорт и техника</w:t>
            </w:r>
          </w:p>
        </w:tc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23 897,87 ₽</w:t>
            </w:r>
          </w:p>
        </w:tc>
        <w:tc>
          <w:tcPr>
            <w:tcW w:type="dxa" w:w="124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0,4%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12</w:t>
            </w:r>
          </w:p>
        </w:tc>
      </w:tr>
      <w:tr>
        <w:trPr>
          <w:cantSplit/>
        </w:trPr>
        <w:tc>
          <w:tcPr>
            <w:tcW w:type="dxa" w:w="464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Консьержи и охрана</w:t>
            </w:r>
          </w:p>
        </w:tc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19 099,08 ₽</w:t>
            </w:r>
          </w:p>
        </w:tc>
        <w:tc>
          <w:tcPr>
            <w:tcW w:type="dxa" w:w="124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0,3%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7</w:t>
            </w:r>
          </w:p>
        </w:tc>
      </w:tr>
      <w:tr>
        <w:trPr>
          <w:cantSplit/>
        </w:trPr>
        <w:tc>
          <w:tcPr>
            <w:tcW w:type="dxa" w:w="464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Не классифицировано</w:t>
            </w:r>
          </w:p>
        </w:tc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11 021,00 ₽</w:t>
            </w:r>
          </w:p>
        </w:tc>
        <w:tc>
          <w:tcPr>
            <w:tcW w:type="dxa" w:w="124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0,2%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4</w:t>
            </w:r>
          </w:p>
        </w:tc>
      </w:tr>
      <w:tr>
        <w:trPr>
          <w:cantSplit/>
        </w:trPr>
        <w:tc>
          <w:tcPr>
            <w:tcW w:type="dxa" w:w="464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Банковское обслуживание</w:t>
            </w:r>
          </w:p>
        </w:tc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10 664,36 ₽</w:t>
            </w:r>
          </w:p>
        </w:tc>
        <w:tc>
          <w:tcPr>
            <w:tcW w:type="dxa" w:w="124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0,2%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54</w:t>
            </w:r>
          </w:p>
        </w:tc>
      </w:tr>
      <w:tr>
        <w:trPr>
          <w:cantSplit/>
        </w:trPr>
        <w:tc>
          <w:tcPr>
            <w:tcW w:type="dxa" w:w="464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Налоги и обязательные платежи</w:t>
            </w:r>
          </w:p>
        </w:tc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7 723,00 ₽</w:t>
            </w:r>
          </w:p>
        </w:tc>
        <w:tc>
          <w:tcPr>
            <w:tcW w:type="dxa" w:w="124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0,1%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3</w:t>
            </w:r>
          </w:p>
        </w:tc>
      </w:tr>
    </w:tbl>
    <w:p>
      <w:pPr>
        <w:spacing w:after="0"/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88000" cy="348018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tegory_structur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34801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Arial" w:hAnsi="Arial" w:eastAsia="Arial"/>
          <w:i/>
          <w:color w:val="6B7280"/>
          <w:sz w:val="17"/>
        </w:rPr>
        <w:t>Структура кассовых расходов. ФОТ и инженерно-коммунальные платежи формируют более двух третей списаний.</w:t>
      </w:r>
    </w:p>
    <w:p>
      <w:pPr>
        <w:pStyle w:val="Heading1"/>
      </w:pPr>
      <w:r>
        <w:t>5. Расходы по периоду возникновения</w:t>
      </w:r>
    </w:p>
    <w:p>
      <w:pPr>
        <w:spacing w:after="100"/>
      </w:pPr>
      <w:r>
        <w:rPr>
          <w:rFonts w:ascii="Arial" w:hAnsi="Arial" w:eastAsia="Arial"/>
          <w:sz w:val="20"/>
        </w:rPr>
        <w:t>Кассовый месяц показывает дату списания денег, но не стоимость услуг именно этого месяца. Для управленческого учета платежи распределены по периоду, указанному в назначении, счете или предполагаемому по дате документа.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8"/>
        <w:gridCol w:w="2578"/>
        <w:gridCol w:w="2578"/>
        <w:gridCol w:w="2578"/>
      </w:tblGrid>
      <w:tr>
        <w:trPr>
          <w:tblHeader w:val="true"/>
        </w:trPr>
        <w:tc>
          <w:tcPr>
            <w:tcW w:type="dxa" w:w="2381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Период расхода</w:t>
            </w:r>
          </w:p>
        </w:tc>
        <w:tc>
          <w:tcPr>
            <w:tcW w:type="dxa" w:w="2154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Сумма</w:t>
            </w:r>
          </w:p>
        </w:tc>
        <w:tc>
          <w:tcPr>
            <w:tcW w:type="dxa" w:w="1247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Доля</w:t>
            </w:r>
          </w:p>
        </w:tc>
        <w:tc>
          <w:tcPr>
            <w:tcW w:type="dxa" w:w="3458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Пояснение</w:t>
            </w:r>
          </w:p>
        </w:tc>
      </w:tr>
      <w:tr>
        <w:trPr>
          <w:cantSplit/>
        </w:trPr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До мая 2026 года</w:t>
            </w:r>
          </w:p>
        </w:tc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2 553 342,72 ₽</w:t>
            </w:r>
          </w:p>
        </w:tc>
        <w:tc>
          <w:tcPr>
            <w:tcW w:type="dxa" w:w="124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39,5%</w:t>
            </w:r>
          </w:p>
        </w:tc>
        <w:tc>
          <w:tcPr>
            <w:tcW w:type="dxa" w:w="345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Погашение обязательств прошлых периодов.</w:t>
            </w:r>
          </w:p>
        </w:tc>
      </w:tr>
      <w:tr>
        <w:trPr>
          <w:cantSplit/>
        </w:trPr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Май—июль 2026 года</w:t>
            </w:r>
          </w:p>
        </w:tc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3 825 818,80 ₽</w:t>
            </w:r>
          </w:p>
        </w:tc>
        <w:tc>
          <w:tcPr>
            <w:tcW w:type="dxa" w:w="124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59,1%</w:t>
            </w:r>
          </w:p>
        </w:tc>
        <w:tc>
          <w:tcPr>
            <w:tcW w:type="dxa" w:w="345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Стоимость услуг и работ анализируемого периода, частично расчетная.</w:t>
            </w:r>
          </w:p>
        </w:tc>
      </w:tr>
      <w:tr>
        <w:trPr>
          <w:cantSplit/>
        </w:trPr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Август 2026 года</w:t>
            </w:r>
          </w:p>
        </w:tc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6 699,77 ₽</w:t>
            </w:r>
          </w:p>
        </w:tc>
        <w:tc>
          <w:tcPr>
            <w:tcW w:type="dxa" w:w="124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0,1%</w:t>
            </w:r>
          </w:p>
        </w:tc>
        <w:tc>
          <w:tcPr>
            <w:tcW w:type="dxa" w:w="345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Авансы будущего периода.</w:t>
            </w:r>
          </w:p>
        </w:tc>
      </w:tr>
      <w:tr>
        <w:trPr>
          <w:cantSplit/>
        </w:trPr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Период не установлен</w:t>
            </w:r>
          </w:p>
        </w:tc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82 667,80 ₽</w:t>
            </w:r>
          </w:p>
        </w:tc>
        <w:tc>
          <w:tcPr>
            <w:tcW w:type="dxa" w:w="124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1,3%</w:t>
            </w:r>
          </w:p>
        </w:tc>
        <w:tc>
          <w:tcPr>
            <w:tcW w:type="dxa" w:w="345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Нужны счет, акт или уточнение назначения.</w:t>
            </w:r>
          </w:p>
        </w:tc>
      </w:tr>
    </w:tbl>
    <w:p>
      <w:pPr>
        <w:spacing w:after="0"/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472000" cy="3078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eriod_allocation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307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Arial" w:hAnsi="Arial" w:eastAsia="Arial"/>
          <w:i/>
          <w:color w:val="6B7280"/>
          <w:sz w:val="17"/>
        </w:rPr>
        <w:t>Почти 40% списаний относится к более ранним периодам.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8"/>
        <w:gridCol w:w="3438"/>
        <w:gridCol w:w="3438"/>
      </w:tblGrid>
      <w:tr>
        <w:trPr>
          <w:tblHeader w:val="true"/>
        </w:trPr>
        <w:tc>
          <w:tcPr>
            <w:tcW w:type="dxa" w:w="3515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Месяц/период услуги</w:t>
            </w:r>
          </w:p>
        </w:tc>
        <w:tc>
          <w:tcPr>
            <w:tcW w:type="dxa" w:w="2948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Сумма отнесенных платежей</w:t>
            </w:r>
          </w:p>
        </w:tc>
        <w:tc>
          <w:tcPr>
            <w:tcW w:type="dxa" w:w="1814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Доля кассы</w:t>
            </w:r>
          </w:p>
        </w:tc>
      </w:tr>
      <w:tr>
        <w:trPr>
          <w:cantSplit/>
        </w:trPr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декабрь 2025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8 000,00 ₽</w:t>
            </w:r>
          </w:p>
        </w:tc>
        <w:tc>
          <w:tcPr>
            <w:tcW w:type="dxa" w:w="181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0,1%</w:t>
            </w:r>
          </w:p>
        </w:tc>
      </w:tr>
      <w:tr>
        <w:trPr>
          <w:cantSplit/>
        </w:trPr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январь 2026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27 600,00 ₽</w:t>
            </w:r>
          </w:p>
        </w:tc>
        <w:tc>
          <w:tcPr>
            <w:tcW w:type="dxa" w:w="181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0,4%</w:t>
            </w:r>
          </w:p>
        </w:tc>
      </w:tr>
      <w:tr>
        <w:trPr>
          <w:cantSplit/>
        </w:trPr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февраль 2026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413 937,00 ₽</w:t>
            </w:r>
          </w:p>
        </w:tc>
        <w:tc>
          <w:tcPr>
            <w:tcW w:type="dxa" w:w="181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6,4%</w:t>
            </w:r>
          </w:p>
        </w:tc>
      </w:tr>
      <w:tr>
        <w:trPr>
          <w:cantSplit/>
        </w:trPr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март 2026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618 040,42 ₽</w:t>
            </w:r>
          </w:p>
        </w:tc>
        <w:tc>
          <w:tcPr>
            <w:tcW w:type="dxa" w:w="181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9,6%</w:t>
            </w:r>
          </w:p>
        </w:tc>
      </w:tr>
      <w:tr>
        <w:trPr>
          <w:cantSplit/>
        </w:trPr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апрель 2026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1 485 765,30 ₽</w:t>
            </w:r>
          </w:p>
        </w:tc>
        <w:tc>
          <w:tcPr>
            <w:tcW w:type="dxa" w:w="181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23,0%</w:t>
            </w:r>
          </w:p>
        </w:tc>
      </w:tr>
      <w:tr>
        <w:trPr>
          <w:cantSplit/>
        </w:trPr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май 2026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1 552 119,69 ₽</w:t>
            </w:r>
          </w:p>
        </w:tc>
        <w:tc>
          <w:tcPr>
            <w:tcW w:type="dxa" w:w="181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24,0%</w:t>
            </w:r>
          </w:p>
        </w:tc>
      </w:tr>
      <w:tr>
        <w:trPr>
          <w:cantSplit/>
        </w:trPr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июнь 2026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1 269 388,32 ₽</w:t>
            </w:r>
          </w:p>
        </w:tc>
        <w:tc>
          <w:tcPr>
            <w:tcW w:type="dxa" w:w="181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19,6%</w:t>
            </w:r>
          </w:p>
        </w:tc>
      </w:tr>
      <w:tr>
        <w:trPr>
          <w:cantSplit/>
        </w:trPr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июль 2026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1 004 310,79 ₽</w:t>
            </w:r>
          </w:p>
        </w:tc>
        <w:tc>
          <w:tcPr>
            <w:tcW w:type="dxa" w:w="181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15,5%</w:t>
            </w:r>
          </w:p>
        </w:tc>
      </w:tr>
      <w:tr>
        <w:trPr>
          <w:cantSplit/>
        </w:trPr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август 2026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6 699,77 ₽</w:t>
            </w:r>
          </w:p>
        </w:tc>
        <w:tc>
          <w:tcPr>
            <w:tcW w:type="dxa" w:w="181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0,1%</w:t>
            </w:r>
          </w:p>
        </w:tc>
      </w:tr>
      <w:tr>
        <w:trPr>
          <w:cantSplit/>
        </w:trPr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Не установлен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82 667,80 ₽</w:t>
            </w:r>
          </w:p>
        </w:tc>
        <w:tc>
          <w:tcPr>
            <w:tcW w:type="dxa" w:w="181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7"/>
              </w:rPr>
              <w:t>1,3%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FFF2CC"/>
            <w:tcBorders>
              <w:top w:val="single" w:sz="8" w:space="0" w:color="D6B656"/>
              <w:left w:val="single" w:sz="8" w:space="0" w:color="D6B656"/>
              <w:bottom w:val="single" w:sz="8" w:space="0" w:color="D6B656"/>
              <w:right w:val="single" w:sz="8" w:space="0" w:color="D6B656"/>
              <w:insideH w:val="single" w:sz="8" w:space="0" w:color="D6B656"/>
              <w:insideV w:val="single" w:sz="8" w:space="0" w:color="D6B656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rFonts w:ascii="Arial" w:hAnsi="Arial" w:eastAsia="Arial"/>
                <w:b/>
                <w:color w:val="1F2937"/>
                <w:sz w:val="20"/>
              </w:rPr>
              <w:t>Ограничение периодизации</w:t>
              <w:br/>
            </w:r>
            <w:r>
              <w:rPr>
                <w:rFonts w:ascii="Arial" w:hAnsi="Arial" w:eastAsia="Arial"/>
                <w:color w:val="1F2937"/>
                <w:sz w:val="19"/>
              </w:rPr>
              <w:t>Июльский расход по ФОТ по методу возникновения неполон: часть зарплаты и налогов за июль будет выплачена уже в августе и отсутствует в текущем наборе.</w:t>
            </w:r>
          </w:p>
        </w:tc>
      </w:tr>
    </w:tbl>
    <w:p>
      <w:pPr>
        <w:spacing w:after="0"/>
      </w:pPr>
    </w:p>
    <w:p>
      <w:pPr>
        <w:pStyle w:val="Heading1"/>
      </w:pPr>
      <w:r>
        <w:t>6. Сопоставление с исторической структурой сметы 2025 года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F4CCCC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  <w:insideH w:val="single" w:sz="8" w:space="0" w:color="C0504D"/>
              <w:insideV w:val="single" w:sz="8" w:space="0" w:color="C0504D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rFonts w:ascii="Arial" w:hAnsi="Arial" w:eastAsia="Arial"/>
                <w:b/>
                <w:color w:val="1F2937"/>
                <w:sz w:val="20"/>
              </w:rPr>
              <w:t>НЕ ОФИЦИАЛЬНЫЙ ПЛАН-ФАКТ 2026</w:t>
              <w:br/>
            </w:r>
            <w:r>
              <w:rPr>
                <w:rFonts w:ascii="Arial" w:hAnsi="Arial" w:eastAsia="Arial"/>
                <w:color w:val="1F2937"/>
                <w:sz w:val="19"/>
              </w:rPr>
              <w:t>Утвержденная смета 2026 года не представлена. Смета 2025 года используется только как историческая база и ориентир. Отклонение не доказывает перерасход или экономию бюджета 2026 года.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3"/>
        <w:gridCol w:w="1473"/>
        <w:gridCol w:w="1473"/>
        <w:gridCol w:w="1473"/>
        <w:gridCol w:w="1473"/>
        <w:gridCol w:w="1473"/>
        <w:gridCol w:w="1473"/>
      </w:tblGrid>
      <w:tr>
        <w:trPr>
          <w:tblHeader w:val="true"/>
        </w:trPr>
        <w:tc>
          <w:tcPr>
            <w:tcW w:type="dxa" w:w="2041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Статья</w:t>
            </w:r>
          </w:p>
        </w:tc>
        <w:tc>
          <w:tcPr>
            <w:tcW w:type="dxa" w:w="1417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Ориентир 2025 май—июль</w:t>
            </w:r>
          </w:p>
        </w:tc>
        <w:tc>
          <w:tcPr>
            <w:tcW w:type="dxa" w:w="1361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Кассовый факт</w:t>
            </w:r>
          </w:p>
        </w:tc>
        <w:tc>
          <w:tcPr>
            <w:tcW w:type="dxa" w:w="1417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Факт периода май—июль</w:t>
            </w:r>
          </w:p>
        </w:tc>
        <w:tc>
          <w:tcPr>
            <w:tcW w:type="dxa" w:w="1304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Отклонение кассы</w:t>
            </w:r>
          </w:p>
        </w:tc>
        <w:tc>
          <w:tcPr>
            <w:tcW w:type="dxa" w:w="850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Откл., %</w:t>
            </w:r>
          </w:p>
        </w:tc>
        <w:tc>
          <w:tcPr>
            <w:tcW w:type="dxa" w:w="2381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Комментарий</w:t>
            </w:r>
          </w:p>
        </w:tc>
      </w:tr>
      <w:tr>
        <w:trPr>
          <w:cantSplit/>
        </w:trPr>
        <w:tc>
          <w:tcPr>
            <w:tcW w:type="dxa" w:w="204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ФОТ (включая выплаты, НДФЛ и взносы)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2 357 076,00 ₽</w:t>
            </w:r>
          </w:p>
        </w:tc>
        <w:tc>
          <w:tcPr>
            <w:tcW w:type="dxa" w:w="136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2 823 697,48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2 097 997,84 ₽</w:t>
            </w:r>
          </w:p>
        </w:tc>
        <w:tc>
          <w:tcPr>
            <w:tcW w:type="dxa" w:w="130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466 621,48 ₽</w:t>
            </w:r>
          </w:p>
        </w:tc>
        <w:tc>
          <w:tcPr>
            <w:tcW w:type="dxa" w:w="85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19,8%</w:t>
            </w:r>
          </w:p>
        </w:tc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Сопоставимость зависит от того, включает ли строка сметы налоги и взносы; июль по методу периода неполон.</w:t>
            </w:r>
          </w:p>
        </w:tc>
      </w:tr>
      <w:tr>
        <w:trPr>
          <w:cantSplit/>
        </w:trPr>
        <w:tc>
          <w:tcPr>
            <w:tcW w:type="dxa" w:w="204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Вывоз мусора/ТКО/контейнеры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539 232,00 ₽</w:t>
            </w:r>
          </w:p>
        </w:tc>
        <w:tc>
          <w:tcPr>
            <w:tcW w:type="dxa" w:w="136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706 551,61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230 882,61 ₽</w:t>
            </w:r>
          </w:p>
        </w:tc>
        <w:tc>
          <w:tcPr>
            <w:tcW w:type="dxa" w:w="130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167 319,61 ₽</w:t>
            </w:r>
          </w:p>
        </w:tc>
        <w:tc>
          <w:tcPr>
            <w:tcW w:type="dxa" w:w="85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31,0%</w:t>
            </w:r>
          </w:p>
        </w:tc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Кассовый факт включает январь-апрель; счета за июнь-июль в выписках не видны.</w:t>
            </w:r>
          </w:p>
        </w:tc>
      </w:tr>
      <w:tr>
        <w:trPr>
          <w:cantSplit/>
        </w:trPr>
        <w:tc>
          <w:tcPr>
            <w:tcW w:type="dxa" w:w="204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ТМЦ и эксплуатационные материалы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240 000,00 ₽</w:t>
            </w:r>
          </w:p>
        </w:tc>
        <w:tc>
          <w:tcPr>
            <w:tcW w:type="dxa" w:w="136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407 931,66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383 152,66 ₽</w:t>
            </w:r>
          </w:p>
        </w:tc>
        <w:tc>
          <w:tcPr>
            <w:tcW w:type="dxa" w:w="130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167 931,66 ₽</w:t>
            </w:r>
          </w:p>
        </w:tc>
        <w:tc>
          <w:tcPr>
            <w:tcW w:type="dxa" w:w="85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70,0%</w:t>
            </w:r>
          </w:p>
        </w:tc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Не включает капитальные/проектные покупки 215,8 тыс. руб.</w:t>
            </w:r>
          </w:p>
        </w:tc>
      </w:tr>
      <w:tr>
        <w:trPr>
          <w:cantSplit/>
        </w:trPr>
        <w:tc>
          <w:tcPr>
            <w:tcW w:type="dxa" w:w="204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Электроэнергия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255 000,00 ₽</w:t>
            </w:r>
          </w:p>
        </w:tc>
        <w:tc>
          <w:tcPr>
            <w:tcW w:type="dxa" w:w="136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1 019 052,85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0,00 ₽</w:t>
            </w:r>
          </w:p>
        </w:tc>
        <w:tc>
          <w:tcPr>
            <w:tcW w:type="dxa" w:w="130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764 052,85 ₽</w:t>
            </w:r>
          </w:p>
        </w:tc>
        <w:tc>
          <w:tcPr>
            <w:tcW w:type="dxa" w:w="85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299,6%</w:t>
            </w:r>
          </w:p>
        </w:tc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Весь кассовый расход относится к февралю-апрелю; это погашение прошлых периодов, а не расход мая-июля.</w:t>
            </w:r>
          </w:p>
        </w:tc>
      </w:tr>
      <w:tr>
        <w:trPr>
          <w:cantSplit/>
        </w:trPr>
        <w:tc>
          <w:tcPr>
            <w:tcW w:type="dxa" w:w="204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КНС: водоотведение и откачка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133 278,00 ₽</w:t>
            </w:r>
          </w:p>
        </w:tc>
        <w:tc>
          <w:tcPr>
            <w:tcW w:type="dxa" w:w="136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436 298,93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200 194,41 ₽</w:t>
            </w:r>
          </w:p>
        </w:tc>
        <w:tc>
          <w:tcPr>
            <w:tcW w:type="dxa" w:w="130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303 020,93 ₽</w:t>
            </w:r>
          </w:p>
        </w:tc>
        <w:tc>
          <w:tcPr>
            <w:tcW w:type="dxa" w:w="85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227,4%</w:t>
            </w:r>
          </w:p>
        </w:tc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Старая смета объединяет функции; фактические услуги нужно показывать отдельно.</w:t>
            </w:r>
          </w:p>
        </w:tc>
      </w:tr>
      <w:tr>
        <w:trPr>
          <w:cantSplit/>
        </w:trPr>
        <w:tc>
          <w:tcPr>
            <w:tcW w:type="dxa" w:w="204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ВЗУ: обслуживание, анализы, реагенты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162 165,00 ₽</w:t>
            </w:r>
          </w:p>
        </w:tc>
        <w:tc>
          <w:tcPr>
            <w:tcW w:type="dxa" w:w="136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88 755,98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88 755,98 ₽</w:t>
            </w:r>
          </w:p>
        </w:tc>
        <w:tc>
          <w:tcPr>
            <w:tcW w:type="dxa" w:w="130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-73 409,02 ₽</w:t>
            </w:r>
          </w:p>
        </w:tc>
        <w:tc>
          <w:tcPr>
            <w:tcW w:type="dxa" w:w="85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-45,3%</w:t>
            </w:r>
          </w:p>
        </w:tc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Отсутствуют данные о неоплаченных работах и ремонтах насосов.</w:t>
            </w:r>
          </w:p>
        </w:tc>
      </w:tr>
      <w:tr>
        <w:trPr>
          <w:cantSplit/>
        </w:trPr>
        <w:tc>
          <w:tcPr>
            <w:tcW w:type="dxa" w:w="204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Бухгалтерия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143 616,00 ₽</w:t>
            </w:r>
          </w:p>
        </w:tc>
        <w:tc>
          <w:tcPr>
            <w:tcW w:type="dxa" w:w="136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320 400,00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226 300,00 ₽</w:t>
            </w:r>
          </w:p>
        </w:tc>
        <w:tc>
          <w:tcPr>
            <w:tcW w:type="dxa" w:w="130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176 784,00 ₽</w:t>
            </w:r>
          </w:p>
        </w:tc>
        <w:tc>
          <w:tcPr>
            <w:tcW w:type="dxa" w:w="85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123,1%</w:t>
            </w:r>
          </w:p>
        </w:tc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Периоды услуг предположены по датам счетов; нужен акт и объяснение изменения тарифа.</w:t>
            </w:r>
          </w:p>
        </w:tc>
      </w:tr>
      <w:tr>
        <w:trPr>
          <w:cantSplit/>
        </w:trPr>
        <w:tc>
          <w:tcPr>
            <w:tcW w:type="dxa" w:w="204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Банковское обслуживание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14 559,00 ₽</w:t>
            </w:r>
          </w:p>
        </w:tc>
        <w:tc>
          <w:tcPr>
            <w:tcW w:type="dxa" w:w="136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10 664,36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10 664,36 ₽</w:t>
            </w:r>
          </w:p>
        </w:tc>
        <w:tc>
          <w:tcPr>
            <w:tcW w:type="dxa" w:w="130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-3 894,64 ₽</w:t>
            </w:r>
          </w:p>
        </w:tc>
        <w:tc>
          <w:tcPr>
            <w:tcW w:type="dxa" w:w="85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-26,8%</w:t>
            </w:r>
          </w:p>
        </w:tc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Сопоставление относительно устойчиво.</w:t>
            </w:r>
          </w:p>
        </w:tc>
      </w:tr>
      <w:tr>
        <w:trPr>
          <w:cantSplit/>
        </w:trPr>
        <w:tc>
          <w:tcPr>
            <w:tcW w:type="dxa" w:w="204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Связь и ИТ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20 760,00 ₽</w:t>
            </w:r>
          </w:p>
        </w:tc>
        <w:tc>
          <w:tcPr>
            <w:tcW w:type="dxa" w:w="136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41 630,27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37 224,76 ₽</w:t>
            </w:r>
          </w:p>
        </w:tc>
        <w:tc>
          <w:tcPr>
            <w:tcW w:type="dxa" w:w="130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20 870,27 ₽</w:t>
            </w:r>
          </w:p>
        </w:tc>
        <w:tc>
          <w:tcPr>
            <w:tcW w:type="dxa" w:w="85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100,5%</w:t>
            </w:r>
          </w:p>
        </w:tc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В факте есть 1С и диспетчерская ЖКХ, которые в смете частично вынесены в нерегулярные расходы.</w:t>
            </w:r>
          </w:p>
        </w:tc>
      </w:tr>
      <w:tr>
        <w:trPr>
          <w:cantSplit/>
        </w:trPr>
        <w:tc>
          <w:tcPr>
            <w:tcW w:type="dxa" w:w="204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Тревожная кнопка/охрана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8 700,00 ₽</w:t>
            </w:r>
          </w:p>
        </w:tc>
        <w:tc>
          <w:tcPr>
            <w:tcW w:type="dxa" w:w="136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19 099,08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11 199,31 ₽</w:t>
            </w:r>
          </w:p>
        </w:tc>
        <w:tc>
          <w:tcPr>
            <w:tcW w:type="dxa" w:w="130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10 399,08 ₽</w:t>
            </w:r>
          </w:p>
        </w:tc>
        <w:tc>
          <w:tcPr>
            <w:tcW w:type="dxa" w:w="85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119,5%</w:t>
            </w:r>
          </w:p>
        </w:tc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4"/>
              </w:rPr>
              <w:t>Дополнительно оплачено обслуживание охранного оборудования.</w:t>
            </w:r>
          </w:p>
        </w:tc>
      </w:tr>
    </w:tbl>
    <w:p>
      <w:pPr>
        <w:spacing w:after="0"/>
      </w:pPr>
    </w:p>
    <w:p>
      <w:pPr>
        <w:pStyle w:val="Heading1"/>
      </w:pPr>
      <w:r>
        <w:t>7. Анализ сметы 2025 года</w:t>
      </w:r>
    </w:p>
    <w:p>
      <w:pPr>
        <w:pStyle w:val="ListBullet"/>
        <w:spacing w:after="60"/>
        <w:ind w:left="283" w:hanging="142"/>
      </w:pPr>
      <w:r>
        <w:rPr>
          <w:rFonts w:ascii="Arial" w:hAnsi="Arial" w:eastAsia="Arial"/>
          <w:sz w:val="19"/>
        </w:rPr>
        <w:t>В документе предусмотрены ежемесячные доходы около 2,053 млн ₽ и годовой доход 24,632 млн ₽.</w:t>
      </w:r>
    </w:p>
    <w:p>
      <w:pPr>
        <w:pStyle w:val="ListBullet"/>
        <w:spacing w:after="60"/>
        <w:ind w:left="283" w:hanging="142"/>
      </w:pPr>
      <w:r>
        <w:rPr>
          <w:rFonts w:ascii="Arial" w:hAnsi="Arial" w:eastAsia="Arial"/>
          <w:sz w:val="19"/>
        </w:rPr>
        <w:t>Основные расходы указаны в сумме около 22,054 млн ₽, ожидаемый профицит/резерв — около 2,578 млн ₽ до учета нерегулярных расходов.</w:t>
      </w:r>
    </w:p>
    <w:p>
      <w:pPr>
        <w:pStyle w:val="ListBullet"/>
        <w:spacing w:after="60"/>
        <w:ind w:left="283" w:hanging="142"/>
      </w:pPr>
      <w:r>
        <w:rPr>
          <w:rFonts w:ascii="Arial" w:hAnsi="Arial" w:eastAsia="Arial"/>
          <w:sz w:val="19"/>
        </w:rPr>
        <w:t>Нерегулярные расходы указаны отдельно на 931 158 ₽; условная модернизация многофункциональной площадки — 1 600 000 ₽.</w:t>
      </w:r>
    </w:p>
    <w:p>
      <w:pPr>
        <w:pStyle w:val="ListBullet"/>
        <w:spacing w:after="60"/>
        <w:ind w:left="283" w:hanging="142"/>
      </w:pPr>
      <w:r>
        <w:rPr>
          <w:rFonts w:ascii="Arial" w:hAnsi="Arial" w:eastAsia="Arial"/>
          <w:sz w:val="19"/>
        </w:rPr>
        <w:t>Строка ФОТ не раскрывает, входят ли в нее НДФЛ и страховые взносы, из-за чего сравнение с банковскими выплатами может приводить к двойному учету.</w:t>
      </w:r>
    </w:p>
    <w:p>
      <w:pPr>
        <w:pStyle w:val="ListBullet"/>
        <w:spacing w:after="60"/>
        <w:ind w:left="283" w:hanging="142"/>
      </w:pPr>
      <w:r>
        <w:rPr>
          <w:rFonts w:ascii="Arial" w:hAnsi="Arial" w:eastAsia="Arial"/>
          <w:sz w:val="19"/>
        </w:rPr>
        <w:t>Строки КНС, ВЗУ, юридические расходы, ИТ и связь объединяют разные экономические функции и для отчетности жителям должны быть детализированы.</w:t>
      </w:r>
    </w:p>
    <w:p>
      <w:pPr>
        <w:pStyle w:val="ListBullet"/>
        <w:spacing w:after="60"/>
        <w:ind w:left="283" w:hanging="142"/>
      </w:pPr>
      <w:r>
        <w:rPr>
          <w:rFonts w:ascii="Arial" w:hAnsi="Arial" w:eastAsia="Arial"/>
          <w:sz w:val="19"/>
        </w:rPr>
        <w:t>На документе с заголовком «на 2025 год» стоят подписи с датами 30.05.2024 и 01.06.2024. Это требует проверки даты составления и решения общего собрания, но само по себе не позволяет сделать вывод о недействительности сметы.</w:t>
      </w:r>
    </w:p>
    <w:p>
      <w:pPr>
        <w:pStyle w:val="ListBullet"/>
        <w:spacing w:after="60"/>
        <w:ind w:left="283" w:hanging="142"/>
      </w:pPr>
      <w:r>
        <w:rPr>
          <w:rFonts w:ascii="Arial" w:hAnsi="Arial" w:eastAsia="Arial"/>
          <w:sz w:val="19"/>
        </w:rPr>
        <w:t>В годовом итоге по отдельным строкам/месячным суммам есть расхождения в пределах 1–3 ₽, вероятно из-за округления; их следует исправить в исходной электронной версии.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63"/>
        <w:gridCol w:w="2063"/>
        <w:gridCol w:w="2063"/>
        <w:gridCol w:w="2063"/>
        <w:gridCol w:w="2063"/>
      </w:tblGrid>
      <w:tr>
        <w:trPr>
          <w:tblHeader w:val="true"/>
        </w:trPr>
        <w:tc>
          <w:tcPr>
            <w:tcW w:type="dxa" w:w="3969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Статья сметы 2025</w:t>
            </w:r>
          </w:p>
        </w:tc>
        <w:tc>
          <w:tcPr>
            <w:tcW w:type="dxa" w:w="1417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Май</w:t>
            </w:r>
          </w:p>
        </w:tc>
        <w:tc>
          <w:tcPr>
            <w:tcW w:type="dxa" w:w="1417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Июнь</w:t>
            </w:r>
          </w:p>
        </w:tc>
        <w:tc>
          <w:tcPr>
            <w:tcW w:type="dxa" w:w="1417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Июль</w:t>
            </w:r>
          </w:p>
        </w:tc>
        <w:tc>
          <w:tcPr>
            <w:tcW w:type="dxa" w:w="1701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Год</w:t>
            </w:r>
          </w:p>
        </w:tc>
      </w:tr>
      <w:tr>
        <w:trPr>
          <w:cantSplit/>
        </w:trPr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ИТОГО ДОХОДЫ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2 052 685,00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2 052 685,00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2 052 685,00 ₽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24 632 221,00 ₽</w:t>
            </w:r>
          </w:p>
        </w:tc>
      </w:tr>
      <w:tr>
        <w:trPr>
          <w:cantSplit/>
        </w:trPr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ФОТ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785 692,00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785 692,00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785 692,00 ₽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10 972 745,00 ₽</w:t>
            </w:r>
          </w:p>
        </w:tc>
      </w:tr>
      <w:tr>
        <w:trPr>
          <w:cantSplit/>
        </w:trPr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Консьержи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180 000,00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180 000,00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180 000,00 ₽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2 160 000,00 ₽</w:t>
            </w:r>
          </w:p>
        </w:tc>
      </w:tr>
      <w:tr>
        <w:trPr>
          <w:cantSplit/>
        </w:trPr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Вывоз мусора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179 744,00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179 744,00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179 744,00 ₽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2 156 928,00 ₽</w:t>
            </w:r>
          </w:p>
        </w:tc>
      </w:tr>
      <w:tr>
        <w:trPr>
          <w:cantSplit/>
        </w:trPr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ТМЦ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80 000,00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80 000,00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80 000,00 ₽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960 000,00 ₽</w:t>
            </w:r>
          </w:p>
        </w:tc>
      </w:tr>
      <w:tr>
        <w:trPr>
          <w:cantSplit/>
        </w:trPr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Электроэнергия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85 000,00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85 000,00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85 000,00 ₽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1 710 000,00 ₽</w:t>
            </w:r>
          </w:p>
        </w:tc>
      </w:tr>
      <w:tr>
        <w:trPr>
          <w:cantSplit/>
        </w:trPr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КНС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44 426,00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44 426,00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44 426,00 ₽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533 112,00 ₽</w:t>
            </w:r>
          </w:p>
        </w:tc>
      </w:tr>
      <w:tr>
        <w:trPr>
          <w:cantSplit/>
        </w:trPr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Бухгалтерия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47 872,00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47 872,00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47 872,00 ₽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574 464,00 ₽</w:t>
            </w:r>
          </w:p>
        </w:tc>
      </w:tr>
      <w:tr>
        <w:trPr>
          <w:cantSplit/>
        </w:trPr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ВЗУ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54 055,00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54 055,00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54 055,00 ₽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648 660,00 ₽</w:t>
            </w:r>
          </w:p>
        </w:tc>
      </w:tr>
      <w:tr>
        <w:trPr>
          <w:cantSplit/>
        </w:trPr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Тревожная кнопка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2 900,00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2 900,00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2 900,00 ₽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34 797,00 ₽</w:t>
            </w:r>
          </w:p>
        </w:tc>
      </w:tr>
      <w:tr>
        <w:trPr>
          <w:cantSplit/>
        </w:trPr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ИТОГО ОСНОВНЫЕ РАСХОДЫ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1 537 562,00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1 521 462,00 ₽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1 537 562,00 ₽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22 054 263,00 ₽</w:t>
            </w:r>
          </w:p>
        </w:tc>
      </w:tr>
    </w:tbl>
    <w:p>
      <w:pPr>
        <w:spacing w:after="0"/>
      </w:pPr>
    </w:p>
    <w:p>
      <w:pPr>
        <w:pStyle w:val="Heading1"/>
      </w:pPr>
      <w:r>
        <w:t>8. Основные категории расходов</w:t>
      </w:r>
    </w:p>
    <w:p>
      <w:pPr>
        <w:pStyle w:val="Heading2"/>
      </w:pPr>
      <w:r>
        <w:t>Фонд оплаты труда</w:t>
      </w:r>
    </w:p>
    <w:p>
      <w:pPr>
        <w:spacing w:after="100"/>
      </w:pPr>
      <w:r>
        <w:rPr>
          <w:rFonts w:ascii="Arial" w:hAnsi="Arial" w:eastAsia="Arial"/>
          <w:sz w:val="20"/>
        </w:rPr>
        <w:t>2 823 697,48 ₽ — 43,7% всех кассовых расходов. 31 операция: зарплата, авансы, премии, выплаты нерезидентам, НДФЛ и страховые взносы. Нужны штатное расписание, расчетные ведомости и подтверждение того, включает ли историческая строка ФОТ налоги и взносы.</w:t>
      </w:r>
    </w:p>
    <w:p>
      <w:pPr>
        <w:pStyle w:val="Heading2"/>
      </w:pPr>
      <w:r>
        <w:t>Коммунальная и инженерная инфраструктура</w:t>
      </w:r>
    </w:p>
    <w:p>
      <w:pPr>
        <w:spacing w:after="100"/>
      </w:pPr>
      <w:r>
        <w:rPr>
          <w:rFonts w:ascii="Arial" w:hAnsi="Arial" w:eastAsia="Arial"/>
          <w:sz w:val="20"/>
        </w:rPr>
        <w:t>1 544 107,76 ₽ — 23,9% всех кассовых расходов. Включает электроэнергию, водоотведение, КНС и ВЗУ. Существенная часть — оплата счетов февраля—апреля, поэтому касса не равна стоимости услуг мая—июля.</w:t>
      </w:r>
    </w:p>
    <w:p>
      <w:pPr>
        <w:pStyle w:val="Heading2"/>
      </w:pPr>
      <w:r>
        <w:t>Вывоз и обращение с отходами</w:t>
      </w:r>
    </w:p>
    <w:p>
      <w:pPr>
        <w:spacing w:after="100"/>
      </w:pPr>
      <w:r>
        <w:rPr>
          <w:rFonts w:ascii="Arial" w:hAnsi="Arial" w:eastAsia="Arial"/>
          <w:sz w:val="20"/>
        </w:rPr>
        <w:t>706 551,61 ₽ — 10,9% всех кассовых расходов. Оплаты нескольким подрядчикам за вывоз мусора, ТКО, контейнеры и КГМ. Лаг регулярных платежей достигает 88 дней.</w:t>
      </w:r>
    </w:p>
    <w:p>
      <w:pPr>
        <w:pStyle w:val="Heading2"/>
      </w:pPr>
      <w:r>
        <w:t>Материалы и эксплуатация</w:t>
      </w:r>
    </w:p>
    <w:p>
      <w:pPr>
        <w:spacing w:after="100"/>
      </w:pPr>
      <w:r>
        <w:rPr>
          <w:rFonts w:ascii="Arial" w:hAnsi="Arial" w:eastAsia="Arial"/>
          <w:sz w:val="20"/>
        </w:rPr>
        <w:t>407 931,66 ₽ — 6,3% всех кассовых расходов. 44 операции, включая хозяйственные и строительные товары. Часть оплачена корпоративной картой; требуется расшифровка по объектам и материально ответственным лицам.</w:t>
      </w:r>
    </w:p>
    <w:p>
      <w:pPr>
        <w:pStyle w:val="Heading2"/>
      </w:pPr>
      <w:r>
        <w:t>Юридические расходы</w:t>
      </w:r>
    </w:p>
    <w:p>
      <w:pPr>
        <w:spacing w:after="100"/>
      </w:pPr>
      <w:r>
        <w:rPr>
          <w:rFonts w:ascii="Arial" w:hAnsi="Arial" w:eastAsia="Arial"/>
          <w:sz w:val="20"/>
        </w:rPr>
        <w:t>336 000,00 ₽ — 5,2% всех кассовых расходов. Абонентское сопровождение 286 000 ₽ и отдельный платеж 50 000 ₽ по мировому соглашению. Два платежа по 53 500 ₽ идентичны и требуют проверки.</w:t>
      </w:r>
    </w:p>
    <w:p>
      <w:pPr>
        <w:pStyle w:val="Heading2"/>
      </w:pPr>
      <w:r>
        <w:t>Бухгалтерия</w:t>
      </w:r>
    </w:p>
    <w:p>
      <w:pPr>
        <w:spacing w:after="100"/>
      </w:pPr>
      <w:r>
        <w:rPr>
          <w:rFonts w:ascii="Arial" w:hAnsi="Arial" w:eastAsia="Arial"/>
          <w:sz w:val="20"/>
        </w:rPr>
        <w:t>320 400,00 ₽ — 5,0% всех кассовых расходов. За период перечислено 320 400 ₽. В июле оплачены счета на 81 800 ₽ и 69 750 ₽; период и состав услуг нужно подтвердить актами.</w:t>
      </w:r>
    </w:p>
    <w:p>
      <w:pPr>
        <w:pStyle w:val="Heading2"/>
      </w:pPr>
      <w:r>
        <w:t>Капитальные и проектные расходы</w:t>
      </w:r>
    </w:p>
    <w:p>
      <w:pPr>
        <w:spacing w:after="100"/>
      </w:pPr>
      <w:r>
        <w:rPr>
          <w:rFonts w:ascii="Arial" w:hAnsi="Arial" w:eastAsia="Arial"/>
          <w:sz w:val="20"/>
        </w:rPr>
        <w:t>215 805,00 ₽ — 3,3% всех кассовых расходов. Июльские закупки оборудования и материалов на 215 805 ₽. Проект, место установки, решение и постановка имущества на учет не представлены.</w:t>
      </w:r>
    </w:p>
    <w:p>
      <w:pPr>
        <w:pStyle w:val="Heading1"/>
      </w:pPr>
      <w:r>
        <w:t>9. Крупные, разовые и судебные расходы</w:t>
      </w:r>
    </w:p>
    <w:p>
      <w:pPr>
        <w:spacing w:after="100"/>
      </w:pPr>
      <w:r>
        <w:rPr>
          <w:rFonts w:ascii="Arial" w:hAnsi="Arial" w:eastAsia="Arial"/>
          <w:sz w:val="20"/>
        </w:rPr>
        <w:t>Выявлено 44 платежа свыше 50 000 ₽ на сумму 5 368 194,51 ₽, или 83,0% всех расходов. Полный реестр приведен в приложении 1 и в Excel-файле.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8"/>
        <w:gridCol w:w="2578"/>
        <w:gridCol w:w="2578"/>
        <w:gridCol w:w="2578"/>
      </w:tblGrid>
      <w:tr>
        <w:trPr>
          <w:tblHeader w:val="true"/>
        </w:trPr>
        <w:tc>
          <w:tcPr>
            <w:tcW w:type="dxa" w:w="1928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Блок</w:t>
            </w:r>
          </w:p>
        </w:tc>
        <w:tc>
          <w:tcPr>
            <w:tcW w:type="dxa" w:w="1928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Сумма/операция</w:t>
            </w:r>
          </w:p>
        </w:tc>
        <w:tc>
          <w:tcPr>
            <w:tcW w:type="dxa" w:w="3005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Экономический смысл</w:t>
            </w:r>
          </w:p>
        </w:tc>
        <w:tc>
          <w:tcPr>
            <w:tcW w:type="dxa" w:w="2835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Что требуется</w:t>
            </w:r>
          </w:p>
        </w:tc>
      </w:tr>
      <w:tr>
        <w:trPr>
          <w:cantSplit/>
        </w:trPr>
        <w:tc>
          <w:tcPr>
            <w:tcW w:type="dxa" w:w="192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Электроэнергия</w:t>
            </w:r>
          </w:p>
        </w:tc>
        <w:tc>
          <w:tcPr>
            <w:tcW w:type="dxa" w:w="192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1 019 052,85 ₽</w:t>
            </w:r>
          </w:p>
        </w:tc>
        <w:tc>
          <w:tcPr>
            <w:tcW w:type="dxa" w:w="300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Оплата счетов февраля—апреля, включая два частичных платежа за март.</w:t>
            </w:r>
          </w:p>
        </w:tc>
        <w:tc>
          <w:tcPr>
            <w:tcW w:type="dxa" w:w="283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Акт сверки, остаток задолженности и график погашения.</w:t>
            </w:r>
          </w:p>
        </w:tc>
      </w:tr>
      <w:tr>
        <w:trPr>
          <w:cantSplit/>
        </w:trPr>
        <w:tc>
          <w:tcPr>
            <w:tcW w:type="dxa" w:w="192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Юридический дубль</w:t>
            </w:r>
          </w:p>
        </w:tc>
        <w:tc>
          <w:tcPr>
            <w:tcW w:type="dxa" w:w="192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2 × 53 500 ₽</w:t>
            </w:r>
          </w:p>
        </w:tc>
        <w:tc>
          <w:tcPr>
            <w:tcW w:type="dxa" w:w="300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Два полностью идентичных платежа по акту №19.</w:t>
            </w:r>
          </w:p>
        </w:tc>
        <w:tc>
          <w:tcPr>
            <w:tcW w:type="dxa" w:w="283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Два разных акта/счета либо подтверждение возврата/зачета.</w:t>
            </w:r>
          </w:p>
        </w:tc>
      </w:tr>
      <w:tr>
        <w:trPr>
          <w:cantSplit/>
        </w:trPr>
        <w:tc>
          <w:tcPr>
            <w:tcW w:type="dxa" w:w="192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Мировое соглашение</w:t>
            </w:r>
          </w:p>
        </w:tc>
        <w:tc>
          <w:tcPr>
            <w:tcW w:type="dxa" w:w="192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50 000 ₽</w:t>
            </w:r>
          </w:p>
        </w:tc>
        <w:tc>
          <w:tcPr>
            <w:tcW w:type="dxa" w:w="300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ООО «ПРО-ЭКС», дело А41-16293/2022.</w:t>
            </w:r>
          </w:p>
        </w:tc>
        <w:tc>
          <w:tcPr>
            <w:tcW w:type="dxa" w:w="283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Мировое соглашение, общая сумма, график и остаток.</w:t>
            </w:r>
          </w:p>
        </w:tc>
      </w:tr>
      <w:tr>
        <w:trPr>
          <w:cantSplit/>
        </w:trPr>
        <w:tc>
          <w:tcPr>
            <w:tcW w:type="dxa" w:w="192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КНС: откачка/илосос</w:t>
            </w:r>
          </w:p>
        </w:tc>
        <w:tc>
          <w:tcPr>
            <w:tcW w:type="dxa" w:w="192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114 000 ₽</w:t>
            </w:r>
          </w:p>
        </w:tc>
        <w:tc>
          <w:tcPr>
            <w:tcW w:type="dxa" w:w="300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Оплачены текущая работа и счета прошлых периодов.</w:t>
            </w:r>
          </w:p>
        </w:tc>
        <w:tc>
          <w:tcPr>
            <w:tcW w:type="dxa" w:w="283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Акты, объект КНС, объем, аварийность и причины.</w:t>
            </w:r>
          </w:p>
        </w:tc>
      </w:tr>
      <w:tr>
        <w:trPr>
          <w:cantSplit/>
        </w:trPr>
        <w:tc>
          <w:tcPr>
            <w:tcW w:type="dxa" w:w="192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Проектные покупки</w:t>
            </w:r>
          </w:p>
        </w:tc>
        <w:tc>
          <w:tcPr>
            <w:tcW w:type="dxa" w:w="192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215 805 ₽</w:t>
            </w:r>
          </w:p>
        </w:tc>
        <w:tc>
          <w:tcPr>
            <w:tcW w:type="dxa" w:w="300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Профнастил, арматура/трубы, проволока, вышка-тура, качели.</w:t>
            </w:r>
          </w:p>
        </w:tc>
        <w:tc>
          <w:tcPr>
            <w:tcW w:type="dxa" w:w="283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Проект, решение, бюджет, место установки и учет имущества.</w:t>
            </w:r>
          </w:p>
        </w:tc>
      </w:tr>
      <w:tr>
        <w:trPr>
          <w:cantSplit/>
        </w:trPr>
        <w:tc>
          <w:tcPr>
            <w:tcW w:type="dxa" w:w="192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Физические лица</w:t>
            </w:r>
          </w:p>
        </w:tc>
        <w:tc>
          <w:tcPr>
            <w:tcW w:type="dxa" w:w="192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124 489,66 ₽</w:t>
            </w:r>
          </w:p>
        </w:tc>
        <w:tc>
          <w:tcPr>
            <w:tcW w:type="dxa" w:w="300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ГПХ, ремонт башенных часов, компенсации по авансовым отчетам.</w:t>
            </w:r>
          </w:p>
        </w:tc>
        <w:tc>
          <w:tcPr>
            <w:tcW w:type="dxa" w:w="283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Договоры, акты, чеки и подтвержденный результат.</w:t>
            </w:r>
          </w:p>
        </w:tc>
      </w:tr>
    </w:tbl>
    <w:p>
      <w:pPr>
        <w:spacing w:after="0"/>
      </w:pPr>
    </w:p>
    <w:p>
      <w:pPr>
        <w:pStyle w:val="Heading1"/>
      </w:pPr>
      <w:r>
        <w:t>10. КНС и ВЗУ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8"/>
        <w:gridCol w:w="2578"/>
        <w:gridCol w:w="2578"/>
        <w:gridCol w:w="2578"/>
      </w:tblGrid>
      <w:tr>
        <w:trPr>
          <w:tblHeader w:val="true"/>
        </w:trPr>
        <w:tc>
          <w:tcPr>
            <w:tcW w:type="dxa" w:w="2665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Направление</w:t>
            </w:r>
          </w:p>
        </w:tc>
        <w:tc>
          <w:tcPr>
            <w:tcW w:type="dxa" w:w="1701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Кассовая сумма</w:t>
            </w:r>
          </w:p>
        </w:tc>
        <w:tc>
          <w:tcPr>
            <w:tcW w:type="dxa" w:w="2438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Периоды/характер</w:t>
            </w:r>
          </w:p>
        </w:tc>
        <w:tc>
          <w:tcPr>
            <w:tcW w:type="dxa" w:w="2891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Вывод</w:t>
            </w:r>
          </w:p>
        </w:tc>
      </w:tr>
      <w:tr>
        <w:trPr>
          <w:cantSplit/>
        </w:trPr>
        <w:tc>
          <w:tcPr>
            <w:tcW w:type="dxa" w:w="266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Водоотведение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322 298,93 ₽</w:t>
            </w:r>
          </w:p>
        </w:tc>
        <w:tc>
          <w:tcPr>
            <w:tcW w:type="dxa" w:w="243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Март—май 2026; лаг 44–52 дня</w:t>
            </w:r>
          </w:p>
        </w:tc>
        <w:tc>
          <w:tcPr>
            <w:tcW w:type="dxa" w:w="28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Регулярные платежи, но оплачиваются с задержкой.</w:t>
            </w:r>
          </w:p>
        </w:tc>
      </w:tr>
      <w:tr>
        <w:trPr>
          <w:cantSplit/>
        </w:trPr>
        <w:tc>
          <w:tcPr>
            <w:tcW w:type="dxa" w:w="266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КНС: ассенизация и илосос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114 000,00 ₽</w:t>
            </w:r>
          </w:p>
        </w:tc>
        <w:tc>
          <w:tcPr>
            <w:tcW w:type="dxa" w:w="243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Декабрь 2025, апрель—июль 2026</w:t>
            </w:r>
          </w:p>
        </w:tc>
        <w:tc>
          <w:tcPr>
            <w:tcW w:type="dxa" w:w="28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Нужно разделить плановые работы, аварийную откачку и старые счета.</w:t>
            </w:r>
          </w:p>
        </w:tc>
      </w:tr>
      <w:tr>
        <w:trPr>
          <w:cantSplit/>
        </w:trPr>
        <w:tc>
          <w:tcPr>
            <w:tcW w:type="dxa" w:w="266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ВЗУ: реагенты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4 830,00 ₽</w:t>
            </w:r>
          </w:p>
        </w:tc>
        <w:tc>
          <w:tcPr>
            <w:tcW w:type="dxa" w:w="243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Май 2026</w:t>
            </w:r>
          </w:p>
        </w:tc>
        <w:tc>
          <w:tcPr>
            <w:tcW w:type="dxa" w:w="28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Гипохлорит и доставка.</w:t>
            </w:r>
          </w:p>
        </w:tc>
      </w:tr>
      <w:tr>
        <w:trPr>
          <w:cantSplit/>
        </w:trPr>
        <w:tc>
          <w:tcPr>
            <w:tcW w:type="dxa" w:w="266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ВЗУ: водоподготовка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22 000,00 ₽</w:t>
            </w:r>
          </w:p>
        </w:tc>
        <w:tc>
          <w:tcPr>
            <w:tcW w:type="dxa" w:w="243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Июнь 2026</w:t>
            </w:r>
          </w:p>
        </w:tc>
        <w:tc>
          <w:tcPr>
            <w:tcW w:type="dxa" w:w="28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Нужен акт и перечень выполненных операций.</w:t>
            </w:r>
          </w:p>
        </w:tc>
      </w:tr>
      <w:tr>
        <w:trPr>
          <w:cantSplit/>
        </w:trPr>
        <w:tc>
          <w:tcPr>
            <w:tcW w:type="dxa" w:w="266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ВЗУ: лабораторные анализы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61 925,98 ₽</w:t>
            </w:r>
          </w:p>
        </w:tc>
        <w:tc>
          <w:tcPr>
            <w:tcW w:type="dxa" w:w="243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Июль 2026</w:t>
            </w:r>
          </w:p>
        </w:tc>
        <w:tc>
          <w:tcPr>
            <w:tcW w:type="dxa" w:w="28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Нужны протоколы исследований и публикация результатов.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FFF2CC"/>
            <w:tcBorders>
              <w:top w:val="single" w:sz="8" w:space="0" w:color="D6B656"/>
              <w:left w:val="single" w:sz="8" w:space="0" w:color="D6B656"/>
              <w:bottom w:val="single" w:sz="8" w:space="0" w:color="D6B656"/>
              <w:right w:val="single" w:sz="8" w:space="0" w:color="D6B656"/>
              <w:insideH w:val="single" w:sz="8" w:space="0" w:color="D6B656"/>
              <w:insideV w:val="single" w:sz="8" w:space="0" w:color="D6B656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rFonts w:ascii="Arial" w:hAnsi="Arial" w:eastAsia="Arial"/>
                <w:b/>
                <w:color w:val="1F2937"/>
                <w:sz w:val="20"/>
              </w:rPr>
              <w:t>Внебанковские обязательства</w:t>
              <w:br/>
            </w:r>
            <w:r>
              <w:rPr>
                <w:rFonts w:ascii="Arial" w:hAnsi="Arial" w:eastAsia="Arial"/>
                <w:color w:val="1F2937"/>
                <w:sz w:val="19"/>
              </w:rPr>
              <w:t>В проектной переписке упоминалась оплата ремонта насоса КНС-2 физическим лицом из собственных средств. В текущем наборе нет суммы, договора, акта и решения о компенсации. Эта информация не включена в расходы и используется только как основание для запроса документов.</w:t>
            </w:r>
          </w:p>
        </w:tc>
      </w:tr>
    </w:tbl>
    <w:p>
      <w:pPr>
        <w:spacing w:after="0"/>
      </w:pPr>
    </w:p>
    <w:p>
      <w:pPr>
        <w:pStyle w:val="Heading1"/>
      </w:pPr>
      <w:r>
        <w:t>11. Операции, требующие пояснения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8"/>
        <w:gridCol w:w="2578"/>
        <w:gridCol w:w="2578"/>
        <w:gridCol w:w="2578"/>
      </w:tblGrid>
      <w:tr>
        <w:trPr>
          <w:tblHeader w:val="true"/>
        </w:trPr>
        <w:tc>
          <w:tcPr>
            <w:tcW w:type="dxa" w:w="1474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Приоритет</w:t>
            </w:r>
          </w:p>
        </w:tc>
        <w:tc>
          <w:tcPr>
            <w:tcW w:type="dxa" w:w="1757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Блок</w:t>
            </w:r>
          </w:p>
        </w:tc>
        <w:tc>
          <w:tcPr>
            <w:tcW w:type="dxa" w:w="2665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Сигнал</w:t>
            </w:r>
          </w:p>
        </w:tc>
        <w:tc>
          <w:tcPr>
            <w:tcW w:type="dxa" w:w="4025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Точный запрос</w:t>
            </w:r>
          </w:p>
        </w:tc>
      </w:tr>
      <w:tr>
        <w:trPr>
          <w:cantSplit/>
        </w:trPr>
        <w:tc>
          <w:tcPr>
            <w:tcW w:type="dxa" w:w="147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Критический</w:t>
            </w:r>
          </w:p>
        </w:tc>
        <w:tc>
          <w:tcPr>
            <w:tcW w:type="dxa" w:w="175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Выписка за май</w:t>
            </w:r>
          </w:p>
        </w:tc>
        <w:tc>
          <w:tcPr>
            <w:tcW w:type="dxa" w:w="266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Контрольная сумма</w:t>
            </w:r>
          </w:p>
        </w:tc>
        <w:tc>
          <w:tcPr>
            <w:tcW w:type="dxa" w:w="402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Подтвердить корректный оборот и предоставить исходную банковскую PDF-выписку/выгрузку без ручных изменений.</w:t>
            </w:r>
          </w:p>
        </w:tc>
      </w:tr>
      <w:tr>
        <w:trPr>
          <w:cantSplit/>
        </w:trPr>
        <w:tc>
          <w:tcPr>
            <w:tcW w:type="dxa" w:w="147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Критический</w:t>
            </w:r>
          </w:p>
        </w:tc>
        <w:tc>
          <w:tcPr>
            <w:tcW w:type="dxa" w:w="175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Юридические расходы</w:t>
            </w:r>
          </w:p>
        </w:tc>
        <w:tc>
          <w:tcPr>
            <w:tcW w:type="dxa" w:w="266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Два платежа по 53 500 руб. 19.06.2026</w:t>
            </w:r>
          </w:p>
        </w:tc>
        <w:tc>
          <w:tcPr>
            <w:tcW w:type="dxa" w:w="402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Представить два разных счета/акта либо подтвердить возврат/зачет ошибочного дубля.</w:t>
            </w:r>
          </w:p>
        </w:tc>
      </w:tr>
      <w:tr>
        <w:trPr>
          <w:cantSplit/>
        </w:trPr>
        <w:tc>
          <w:tcPr>
            <w:tcW w:type="dxa" w:w="147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Критический</w:t>
            </w:r>
          </w:p>
        </w:tc>
        <w:tc>
          <w:tcPr>
            <w:tcW w:type="dxa" w:w="175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Электроэнергия</w:t>
            </w:r>
          </w:p>
        </w:tc>
        <w:tc>
          <w:tcPr>
            <w:tcW w:type="dxa" w:w="266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Платежи за февраль-март с лагом 90-107 дней</w:t>
            </w:r>
          </w:p>
        </w:tc>
        <w:tc>
          <w:tcPr>
            <w:tcW w:type="dxa" w:w="402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Представить акт сверки с Мосэнергосбытом, остаток по каждому месяцу и график погашения.</w:t>
            </w:r>
          </w:p>
        </w:tc>
      </w:tr>
      <w:tr>
        <w:trPr>
          <w:cantSplit/>
        </w:trPr>
        <w:tc>
          <w:tcPr>
            <w:tcW w:type="dxa" w:w="147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Критический</w:t>
            </w:r>
          </w:p>
        </w:tc>
        <w:tc>
          <w:tcPr>
            <w:tcW w:type="dxa" w:w="175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ООО ПРО-ЭКС</w:t>
            </w:r>
          </w:p>
        </w:tc>
        <w:tc>
          <w:tcPr>
            <w:tcW w:type="dxa" w:w="266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50 000 руб. по мировому соглашению А41-16293/2022</w:t>
            </w:r>
          </w:p>
        </w:tc>
        <w:tc>
          <w:tcPr>
            <w:tcW w:type="dxa" w:w="402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Представить мировое соглашение, решение об одобрении, график и остаток обязательства.</w:t>
            </w:r>
          </w:p>
        </w:tc>
      </w:tr>
      <w:tr>
        <w:trPr>
          <w:cantSplit/>
        </w:trPr>
        <w:tc>
          <w:tcPr>
            <w:tcW w:type="dxa" w:w="147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Критический</w:t>
            </w:r>
          </w:p>
        </w:tc>
        <w:tc>
          <w:tcPr>
            <w:tcW w:type="dxa" w:w="175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Корпоративная карта</w:t>
            </w:r>
          </w:p>
        </w:tc>
        <w:tc>
          <w:tcPr>
            <w:tcW w:type="dxa" w:w="266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47 операций на 113 437,61 руб.</w:t>
            </w:r>
          </w:p>
        </w:tc>
        <w:tc>
          <w:tcPr>
            <w:tcW w:type="dxa" w:w="402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Представить полный комплект авансовых отчетов и чеков по каждой операции.</w:t>
            </w:r>
          </w:p>
        </w:tc>
      </w:tr>
      <w:tr>
        <w:trPr>
          <w:cantSplit/>
        </w:trPr>
        <w:tc>
          <w:tcPr>
            <w:tcW w:type="dxa" w:w="147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Критический</w:t>
            </w:r>
          </w:p>
        </w:tc>
        <w:tc>
          <w:tcPr>
            <w:tcW w:type="dxa" w:w="175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Капитальные и проектные покупки</w:t>
            </w:r>
          </w:p>
        </w:tc>
        <w:tc>
          <w:tcPr>
            <w:tcW w:type="dxa" w:w="266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Июльские закупки на 215 805 руб.</w:t>
            </w:r>
          </w:p>
        </w:tc>
        <w:tc>
          <w:tcPr>
            <w:tcW w:type="dxa" w:w="402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Указать проект, место, бюджет, решение, результат, ответственное лицо и постановку имущества на учет.</w:t>
            </w:r>
          </w:p>
        </w:tc>
      </w:tr>
      <w:tr>
        <w:trPr>
          <w:cantSplit/>
        </w:trPr>
        <w:tc>
          <w:tcPr>
            <w:tcW w:type="dxa" w:w="147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Критический</w:t>
            </w:r>
          </w:p>
        </w:tc>
        <w:tc>
          <w:tcPr>
            <w:tcW w:type="dxa" w:w="175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Внебанковские обязательства</w:t>
            </w:r>
          </w:p>
        </w:tc>
        <w:tc>
          <w:tcPr>
            <w:tcW w:type="dxa" w:w="266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Ремонт насоса КНС-2 за личные средства</w:t>
            </w:r>
          </w:p>
        </w:tc>
        <w:tc>
          <w:tcPr>
            <w:tcW w:type="dxa" w:w="402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Представить реестр личных оплат, договор/акт, сумму к возмещению и решение о компенсации.</w:t>
            </w:r>
          </w:p>
        </w:tc>
      </w:tr>
      <w:tr>
        <w:trPr>
          <w:cantSplit/>
        </w:trPr>
        <w:tc>
          <w:tcPr>
            <w:tcW w:type="dxa" w:w="147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До следующего отчета</w:t>
            </w:r>
          </w:p>
        </w:tc>
        <w:tc>
          <w:tcPr>
            <w:tcW w:type="dxa" w:w="175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Бухгалтерия</w:t>
            </w:r>
          </w:p>
        </w:tc>
        <w:tc>
          <w:tcPr>
            <w:tcW w:type="dxa" w:w="266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Платежи 81 800 и 69 750 руб. в июле</w:t>
            </w:r>
          </w:p>
        </w:tc>
        <w:tc>
          <w:tcPr>
            <w:tcW w:type="dxa" w:w="402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Представить акты по всем четырем счетам и объяснить тариф/дополнительные услуги и наличие старой задолженности.</w:t>
            </w:r>
          </w:p>
        </w:tc>
      </w:tr>
      <w:tr>
        <w:trPr>
          <w:cantSplit/>
        </w:trPr>
        <w:tc>
          <w:tcPr>
            <w:tcW w:type="dxa" w:w="147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До следующего отчета</w:t>
            </w:r>
          </w:p>
        </w:tc>
        <w:tc>
          <w:tcPr>
            <w:tcW w:type="dxa" w:w="175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Дезинсекция</w:t>
            </w:r>
          </w:p>
        </w:tc>
        <w:tc>
          <w:tcPr>
            <w:tcW w:type="dxa" w:w="266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8 000 руб. по счету от 28.05.2022</w:t>
            </w:r>
          </w:p>
        </w:tc>
        <w:tc>
          <w:tcPr>
            <w:tcW w:type="dxa" w:w="402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Представить счет, акт и акт сверки; подтвердить период услуги.</w:t>
            </w:r>
          </w:p>
        </w:tc>
      </w:tr>
      <w:tr>
        <w:trPr>
          <w:cantSplit/>
        </w:trPr>
        <w:tc>
          <w:tcPr>
            <w:tcW w:type="dxa" w:w="147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До следующего отчета</w:t>
            </w:r>
          </w:p>
        </w:tc>
        <w:tc>
          <w:tcPr>
            <w:tcW w:type="dxa" w:w="175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КНС</w:t>
            </w:r>
          </w:p>
        </w:tc>
        <w:tc>
          <w:tcPr>
            <w:tcW w:type="dxa" w:w="266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Ассенизация и илосос 114 000 руб.</w:t>
            </w:r>
          </w:p>
        </w:tc>
        <w:tc>
          <w:tcPr>
            <w:tcW w:type="dxa" w:w="402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По каждому счету указать КНС, дату и причину работ, объем, плановый/аварийный характер и акт.</w:t>
            </w:r>
          </w:p>
        </w:tc>
      </w:tr>
      <w:tr>
        <w:trPr>
          <w:cantSplit/>
        </w:trPr>
        <w:tc>
          <w:tcPr>
            <w:tcW w:type="dxa" w:w="147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До следующего отчета</w:t>
            </w:r>
          </w:p>
        </w:tc>
        <w:tc>
          <w:tcPr>
            <w:tcW w:type="dxa" w:w="175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ВЗУ</w:t>
            </w:r>
          </w:p>
        </w:tc>
        <w:tc>
          <w:tcPr>
            <w:tcW w:type="dxa" w:w="266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88 755,98 руб.</w:t>
            </w:r>
          </w:p>
        </w:tc>
        <w:tc>
          <w:tcPr>
            <w:tcW w:type="dxa" w:w="402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Представить акты, результаты анализов, план обслуживания, остаток реагентов и реестр ремонтов.</w:t>
            </w:r>
          </w:p>
        </w:tc>
      </w:tr>
      <w:tr>
        <w:trPr>
          <w:cantSplit/>
        </w:trPr>
        <w:tc>
          <w:tcPr>
            <w:tcW w:type="dxa" w:w="147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До следующего отчета</w:t>
            </w:r>
          </w:p>
        </w:tc>
        <w:tc>
          <w:tcPr>
            <w:tcW w:type="dxa" w:w="175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Вывоз отходов</w:t>
            </w:r>
          </w:p>
        </w:tc>
        <w:tc>
          <w:tcPr>
            <w:tcW w:type="dxa" w:w="266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Оплаты прошлых периодов на 706 551,61 руб.</w:t>
            </w:r>
          </w:p>
        </w:tc>
        <w:tc>
          <w:tcPr>
            <w:tcW w:type="dxa" w:w="402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Представить акт сверки по каждому подрядчику и задолженность по месяцам.</w:t>
            </w:r>
          </w:p>
        </w:tc>
      </w:tr>
      <w:tr>
        <w:trPr>
          <w:cantSplit/>
        </w:trPr>
        <w:tc>
          <w:tcPr>
            <w:tcW w:type="dxa" w:w="147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До следующего отчета</w:t>
            </w:r>
          </w:p>
        </w:tc>
        <w:tc>
          <w:tcPr>
            <w:tcW w:type="dxa" w:w="175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ФОТ и налоги</w:t>
            </w:r>
          </w:p>
        </w:tc>
        <w:tc>
          <w:tcPr>
            <w:tcW w:type="dxa" w:w="266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Кассовые выплаты 2 823 697,48 руб.</w:t>
            </w:r>
          </w:p>
        </w:tc>
        <w:tc>
          <w:tcPr>
            <w:tcW w:type="dxa" w:w="402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Представить штатное расписание, расчетные ведомости, расчет взносов и пояснить, включает ли строка ФОТ сметы налоги.</w:t>
            </w:r>
          </w:p>
        </w:tc>
      </w:tr>
      <w:tr>
        <w:trPr>
          <w:cantSplit/>
        </w:trPr>
        <w:tc>
          <w:tcPr>
            <w:tcW w:type="dxa" w:w="147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До следующего отчета</w:t>
            </w:r>
          </w:p>
        </w:tc>
        <w:tc>
          <w:tcPr>
            <w:tcW w:type="dxa" w:w="175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Физические лица</w:t>
            </w:r>
          </w:p>
        </w:tc>
        <w:tc>
          <w:tcPr>
            <w:tcW w:type="dxa" w:w="266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124 489,66 руб. прямых выплат/возмещений</w:t>
            </w:r>
          </w:p>
        </w:tc>
        <w:tc>
          <w:tcPr>
            <w:tcW w:type="dxa" w:w="402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Представить договоры, акты, авансовые отчеты, чеки и результат работ.</w:t>
            </w:r>
          </w:p>
        </w:tc>
      </w:tr>
      <w:tr>
        <w:trPr>
          <w:cantSplit/>
        </w:trPr>
        <w:tc>
          <w:tcPr>
            <w:tcW w:type="dxa" w:w="147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Информационный</w:t>
            </w:r>
          </w:p>
        </w:tc>
        <w:tc>
          <w:tcPr>
            <w:tcW w:type="dxa" w:w="175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Смета 2025</w:t>
            </w:r>
          </w:p>
        </w:tc>
        <w:tc>
          <w:tcPr>
            <w:tcW w:type="dxa" w:w="266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Даты подписей 2024 года</w:t>
            </w:r>
          </w:p>
        </w:tc>
        <w:tc>
          <w:tcPr>
            <w:tcW w:type="dxa" w:w="402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Представить решение общего собрания об утверждении сметы и пояснить даты составления/подписания.</w:t>
            </w:r>
          </w:p>
        </w:tc>
      </w:tr>
      <w:tr>
        <w:trPr>
          <w:cantSplit/>
        </w:trPr>
        <w:tc>
          <w:tcPr>
            <w:tcW w:type="dxa" w:w="147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Информационный</w:t>
            </w:r>
          </w:p>
        </w:tc>
        <w:tc>
          <w:tcPr>
            <w:tcW w:type="dxa" w:w="175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Смета 2026</w:t>
            </w:r>
          </w:p>
        </w:tc>
        <w:tc>
          <w:tcPr>
            <w:tcW w:type="dxa" w:w="266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Документ отсутствует</w:t>
            </w:r>
          </w:p>
        </w:tc>
        <w:tc>
          <w:tcPr>
            <w:tcW w:type="dxa" w:w="402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Представить утвержденную смету 2026, протокол, изменения и решения по внеплановым расходам.</w:t>
            </w:r>
          </w:p>
        </w:tc>
      </w:tr>
      <w:tr>
        <w:trPr>
          <w:cantSplit/>
        </w:trPr>
        <w:tc>
          <w:tcPr>
            <w:tcW w:type="dxa" w:w="147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Информационный</w:t>
            </w:r>
          </w:p>
        </w:tc>
        <w:tc>
          <w:tcPr>
            <w:tcW w:type="dxa" w:w="175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Доходы и долги</w:t>
            </w:r>
          </w:p>
        </w:tc>
        <w:tc>
          <w:tcPr>
            <w:tcW w:type="dxa" w:w="266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Нет кредитового оборота и реестров</w:t>
            </w:r>
          </w:p>
        </w:tc>
        <w:tc>
          <w:tcPr>
            <w:tcW w:type="dxa" w:w="402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Представить полную выписку, реестр начислений/оплат, задолженность на начало и конец периода и ОСВ.</w:t>
            </w:r>
          </w:p>
        </w:tc>
      </w:tr>
    </w:tbl>
    <w:p>
      <w:pPr>
        <w:spacing w:after="0"/>
      </w:pPr>
    </w:p>
    <w:p>
      <w:pPr>
        <w:pStyle w:val="Heading1"/>
      </w:pPr>
      <w:r>
        <w:t>12. Кредиторская задолженность и будущие обязательства</w:t>
      </w:r>
    </w:p>
    <w:p>
      <w:pPr>
        <w:spacing w:after="100"/>
      </w:pPr>
      <w:r>
        <w:rPr>
          <w:rFonts w:ascii="Arial" w:hAnsi="Arial" w:eastAsia="Arial"/>
          <w:sz w:val="20"/>
        </w:rPr>
        <w:t>По представленным данным невозможно рассчитать кредиторскую задолженность и свободный остаток. Банковская выписка показывает только уже оплаченные суммы и не доказывает отсутствия обязательств, которые еще не прошли по счету.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8"/>
        <w:gridCol w:w="3438"/>
        <w:gridCol w:w="3438"/>
      </w:tblGrid>
      <w:tr>
        <w:trPr>
          <w:tblHeader w:val="true"/>
        </w:trPr>
        <w:tc>
          <w:tcPr>
            <w:tcW w:type="dxa" w:w="2665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Возможное обязательство</w:t>
            </w:r>
          </w:p>
        </w:tc>
        <w:tc>
          <w:tcPr>
            <w:tcW w:type="dxa" w:w="3402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Что известно</w:t>
            </w:r>
          </w:p>
        </w:tc>
        <w:tc>
          <w:tcPr>
            <w:tcW w:type="dxa" w:w="3402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Что нужно запросить</w:t>
            </w:r>
          </w:p>
        </w:tc>
      </w:tr>
      <w:tr>
        <w:trPr>
          <w:cantSplit/>
        </w:trPr>
        <w:tc>
          <w:tcPr>
            <w:tcW w:type="dxa" w:w="266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Электроэнергия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Платежи за февраль—март проводились с лагом до 107 дней.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Акт сверки и задолженность по каждому месяцу на 31.07.2026.</w:t>
            </w:r>
          </w:p>
        </w:tc>
      </w:tr>
      <w:tr>
        <w:trPr>
          <w:cantSplit/>
        </w:trPr>
        <w:tc>
          <w:tcPr>
            <w:tcW w:type="dxa" w:w="266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Мировое соглашение с ООО «ПРО-ЭКС»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Оплачено 50 000 ₽; общий график не раскрыт.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Текст соглашения, сумма, остаток и даты следующих платежей.</w:t>
            </w:r>
          </w:p>
        </w:tc>
      </w:tr>
      <w:tr>
        <w:trPr>
          <w:cantSplit/>
        </w:trPr>
        <w:tc>
          <w:tcPr>
            <w:tcW w:type="dxa" w:w="266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Ремонт насоса КНС-2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В переписке упомянута оплата физическим лицом.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Сумма, первичка, решение о возмещении и срок выплаты.</w:t>
            </w:r>
          </w:p>
        </w:tc>
      </w:tr>
      <w:tr>
        <w:trPr>
          <w:cantSplit/>
        </w:trPr>
        <w:tc>
          <w:tcPr>
            <w:tcW w:type="dxa" w:w="266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Неоплаченные акты подрядчиков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Данные отсутствуют.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Реестр неоплаченных счетов/актов и ожидаемых работ.</w:t>
            </w:r>
          </w:p>
        </w:tc>
      </w:tr>
      <w:tr>
        <w:trPr>
          <w:cantSplit/>
        </w:trPr>
        <w:tc>
          <w:tcPr>
            <w:tcW w:type="dxa" w:w="266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Налоги и зарплата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Часть обязательств за июль оплачивается в августе.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Расчет задолженности по ФОТ и налогам на конец июля.</w:t>
            </w:r>
          </w:p>
        </w:tc>
      </w:tr>
    </w:tbl>
    <w:p>
      <w:pPr>
        <w:spacing w:after="0"/>
      </w:pPr>
    </w:p>
    <w:p>
      <w:pPr>
        <w:pStyle w:val="Heading1"/>
      </w:pPr>
      <w:r>
        <w:t>13. Выводы о финансовом состоянии</w:t>
      </w:r>
    </w:p>
    <w:p>
      <w:pPr>
        <w:pStyle w:val="ListBullet"/>
        <w:spacing w:after="60"/>
        <w:ind w:left="283" w:hanging="142"/>
      </w:pPr>
      <w:r>
        <w:rPr>
          <w:rFonts w:ascii="Arial" w:hAnsi="Arial" w:eastAsia="Arial"/>
          <w:sz w:val="19"/>
        </w:rPr>
        <w:t>Платежная дисциплина ТСН перед частью ресурсоснабжающих организаций требует внимания: электроэнергия, водоотведение и отходы оплачиваются с заметным лагом.</w:t>
      </w:r>
    </w:p>
    <w:p>
      <w:pPr>
        <w:pStyle w:val="ListBullet"/>
        <w:spacing w:after="60"/>
        <w:ind w:left="283" w:hanging="142"/>
      </w:pPr>
      <w:r>
        <w:rPr>
          <w:rFonts w:ascii="Arial" w:hAnsi="Arial" w:eastAsia="Arial"/>
          <w:sz w:val="19"/>
        </w:rPr>
        <w:t>ФОТ — крупнейшая категория (43,7% кассы). Без штатного расписания и расчета начислений невозможно оценить обоснованность, но для публичного отчета требуется раскрывать не персональные данные, а штатные единицы и совокупный ФОТ.</w:t>
      </w:r>
    </w:p>
    <w:p>
      <w:pPr>
        <w:pStyle w:val="ListBullet"/>
        <w:spacing w:after="60"/>
        <w:ind w:left="283" w:hanging="142"/>
      </w:pPr>
      <w:r>
        <w:rPr>
          <w:rFonts w:ascii="Arial" w:hAnsi="Arial" w:eastAsia="Arial"/>
          <w:sz w:val="19"/>
        </w:rPr>
        <w:t>Инженерные и коммунальные расходы составляют 23,9%, а вместе с отходами — 34,8%. Это подтверждает критическую зависимость поселка от стабильного финансирования инфраструктуры.</w:t>
      </w:r>
    </w:p>
    <w:p>
      <w:pPr>
        <w:pStyle w:val="ListBullet"/>
        <w:spacing w:after="60"/>
        <w:ind w:left="283" w:hanging="142"/>
      </w:pPr>
      <w:r>
        <w:rPr>
          <w:rFonts w:ascii="Arial" w:hAnsi="Arial" w:eastAsia="Arial"/>
          <w:sz w:val="19"/>
        </w:rPr>
        <w:t>Юридические расходы — 336 000 ₽ (5,2%), включая отдельное судебное обязательство. Нужен реестр дел с целью, бюджетом и результатом.</w:t>
      </w:r>
    </w:p>
    <w:p>
      <w:pPr>
        <w:pStyle w:val="ListBullet"/>
        <w:spacing w:after="60"/>
        <w:ind w:left="283" w:hanging="142"/>
      </w:pPr>
      <w:r>
        <w:rPr>
          <w:rFonts w:ascii="Arial" w:hAnsi="Arial" w:eastAsia="Arial"/>
          <w:sz w:val="19"/>
        </w:rPr>
        <w:t>39,5% кассовых расходов относится к периодам до мая 2026 года, что указывает на существенное погашение старых обязательств и затрудняет оценку нормальной месячной себестоимости.</w:t>
      </w:r>
    </w:p>
    <w:p>
      <w:pPr>
        <w:pStyle w:val="ListBullet"/>
        <w:spacing w:after="60"/>
        <w:ind w:left="283" w:hanging="142"/>
      </w:pPr>
      <w:r>
        <w:rPr>
          <w:rFonts w:ascii="Arial" w:hAnsi="Arial" w:eastAsia="Arial"/>
          <w:sz w:val="19"/>
        </w:rPr>
        <w:t>Оценить кассовый разрыв, резерв и количество месяцев устойчивой работы невозможно без поступлений, остатков и кредиторской задолженности.</w:t>
      </w:r>
    </w:p>
    <w:p>
      <w:pPr>
        <w:pStyle w:val="ListBullet"/>
        <w:spacing w:after="60"/>
        <w:ind w:left="283" w:hanging="142"/>
      </w:pPr>
      <w:r>
        <w:rPr>
          <w:rFonts w:ascii="Arial" w:hAnsi="Arial" w:eastAsia="Arial"/>
          <w:sz w:val="19"/>
        </w:rPr>
        <w:t>Финансирование КНС и ВЗУ требует отдельного управленческого контура: плановые работы, аварийные расходы, старые долги, ремонты и деньги физических лиц должны учитываться раздельно.</w:t>
      </w:r>
    </w:p>
    <w:p>
      <w:pPr>
        <w:pStyle w:val="Heading1"/>
      </w:pPr>
      <w:r>
        <w:t>14. Рекомендации правлению</w:t>
      </w:r>
    </w:p>
    <w:p>
      <w:pPr>
        <w:spacing w:after="60"/>
        <w:ind w:left="369" w:hanging="312"/>
      </w:pPr>
      <w:r>
        <w:rPr>
          <w:rFonts w:ascii="Arial" w:hAnsi="Arial" w:eastAsia="Arial"/>
          <w:sz w:val="19"/>
        </w:rPr>
        <w:t xml:space="preserve">1.  </w:t>
      </w:r>
      <w:r>
        <w:rPr>
          <w:rFonts w:ascii="Arial" w:hAnsi="Arial" w:eastAsia="Arial"/>
          <w:sz w:val="19"/>
        </w:rPr>
        <w:t>Утвердить детализированную смету 2026/следующего периода с разделением регулярных, сезонных, аварийных, судебных и капитальных расходов.</w:t>
      </w:r>
    </w:p>
    <w:p>
      <w:pPr>
        <w:spacing w:after="60"/>
        <w:ind w:left="369" w:hanging="312"/>
      </w:pPr>
      <w:r>
        <w:rPr>
          <w:rFonts w:ascii="Arial" w:hAnsi="Arial" w:eastAsia="Arial"/>
          <w:sz w:val="19"/>
        </w:rPr>
        <w:t xml:space="preserve">2.  </w:t>
      </w:r>
      <w:r>
        <w:rPr>
          <w:rFonts w:ascii="Arial" w:hAnsi="Arial" w:eastAsia="Arial"/>
          <w:sz w:val="19"/>
        </w:rPr>
        <w:t>Ежемесячно закрывать управленческий реестр операций: дата оплаты, период услуги, статья сметы, договор, счет/акт, результат и ответственный.</w:t>
      </w:r>
    </w:p>
    <w:p>
      <w:pPr>
        <w:spacing w:after="60"/>
        <w:ind w:left="369" w:hanging="312"/>
      </w:pPr>
      <w:r>
        <w:rPr>
          <w:rFonts w:ascii="Arial" w:hAnsi="Arial" w:eastAsia="Arial"/>
          <w:sz w:val="19"/>
        </w:rPr>
        <w:t xml:space="preserve">3.  </w:t>
      </w:r>
      <w:r>
        <w:rPr>
          <w:rFonts w:ascii="Arial" w:hAnsi="Arial" w:eastAsia="Arial"/>
          <w:sz w:val="19"/>
        </w:rPr>
        <w:t>Публиковать ежеквартальный отчет с доходами, собираемостью, долгами, расходами, обязательствами и свободным остатком.</w:t>
      </w:r>
    </w:p>
    <w:p>
      <w:pPr>
        <w:spacing w:after="60"/>
        <w:ind w:left="369" w:hanging="312"/>
      </w:pPr>
      <w:r>
        <w:rPr>
          <w:rFonts w:ascii="Arial" w:hAnsi="Arial" w:eastAsia="Arial"/>
          <w:sz w:val="19"/>
        </w:rPr>
        <w:t xml:space="preserve">4.  </w:t>
      </w:r>
      <w:r>
        <w:rPr>
          <w:rFonts w:ascii="Arial" w:hAnsi="Arial" w:eastAsia="Arial"/>
          <w:sz w:val="19"/>
        </w:rPr>
        <w:t>Вести реестры договоров, кредиторской задолженности, судебных дел, основных средств и внебанковских обязательств.</w:t>
      </w:r>
    </w:p>
    <w:p>
      <w:pPr>
        <w:spacing w:after="60"/>
        <w:ind w:left="369" w:hanging="312"/>
      </w:pPr>
      <w:r>
        <w:rPr>
          <w:rFonts w:ascii="Arial" w:hAnsi="Arial" w:eastAsia="Arial"/>
          <w:sz w:val="19"/>
        </w:rPr>
        <w:t xml:space="preserve">5.  </w:t>
      </w:r>
      <w:r>
        <w:rPr>
          <w:rFonts w:ascii="Arial" w:hAnsi="Arial" w:eastAsia="Arial"/>
          <w:sz w:val="19"/>
        </w:rPr>
        <w:t>По корпоративной карте оформлять авансовый отчет и чек по каждой операции; неподтвержденные расходы не закрывать в управленческом учете.</w:t>
      </w:r>
    </w:p>
    <w:p>
      <w:pPr>
        <w:spacing w:after="60"/>
        <w:ind w:left="369" w:hanging="312"/>
      </w:pPr>
      <w:r>
        <w:rPr>
          <w:rFonts w:ascii="Arial" w:hAnsi="Arial" w:eastAsia="Arial"/>
          <w:sz w:val="19"/>
        </w:rPr>
        <w:t xml:space="preserve">6.  </w:t>
      </w:r>
      <w:r>
        <w:rPr>
          <w:rFonts w:ascii="Arial" w:hAnsi="Arial" w:eastAsia="Arial"/>
          <w:sz w:val="19"/>
        </w:rPr>
        <w:t>Показывать КНС и ВЗУ отдельными центрами затрат с планом обслуживания, авариями, актами и фото/результатами.</w:t>
      </w:r>
    </w:p>
    <w:p>
      <w:pPr>
        <w:spacing w:after="60"/>
        <w:ind w:left="369" w:hanging="312"/>
      </w:pPr>
      <w:r>
        <w:rPr>
          <w:rFonts w:ascii="Arial" w:hAnsi="Arial" w:eastAsia="Arial"/>
          <w:sz w:val="19"/>
        </w:rPr>
        <w:t xml:space="preserve">7.  </w:t>
      </w:r>
      <w:r>
        <w:rPr>
          <w:rFonts w:ascii="Arial" w:hAnsi="Arial" w:eastAsia="Arial"/>
          <w:sz w:val="19"/>
        </w:rPr>
        <w:t>В каждом платежном поручении указывать период услуги, номер договора, счет/акт и объект.</w:t>
      </w:r>
    </w:p>
    <w:p>
      <w:pPr>
        <w:spacing w:after="60"/>
        <w:ind w:left="369" w:hanging="312"/>
      </w:pPr>
      <w:r>
        <w:rPr>
          <w:rFonts w:ascii="Arial" w:hAnsi="Arial" w:eastAsia="Arial"/>
          <w:sz w:val="19"/>
        </w:rPr>
        <w:t xml:space="preserve">8.  </w:t>
      </w:r>
      <w:r>
        <w:rPr>
          <w:rFonts w:ascii="Arial" w:hAnsi="Arial" w:eastAsia="Arial"/>
          <w:sz w:val="19"/>
        </w:rPr>
        <w:t>Крупные внеплановые расходы согласовывать решением правления или общего собрания по установленным лимитам.</w:t>
      </w:r>
    </w:p>
    <w:p>
      <w:pPr>
        <w:spacing w:after="60"/>
        <w:ind w:left="369" w:hanging="312"/>
      </w:pPr>
      <w:r>
        <w:rPr>
          <w:rFonts w:ascii="Arial" w:hAnsi="Arial" w:eastAsia="Arial"/>
          <w:sz w:val="19"/>
        </w:rPr>
        <w:t xml:space="preserve">9.  </w:t>
      </w:r>
      <w:r>
        <w:rPr>
          <w:rFonts w:ascii="Arial" w:hAnsi="Arial" w:eastAsia="Arial"/>
          <w:sz w:val="19"/>
        </w:rPr>
        <w:t>Не считать неоплаченный счет экономией и не смешивать погашение старой задолженности с расходом текущего месяца.</w:t>
      </w:r>
    </w:p>
    <w:p>
      <w:pPr>
        <w:spacing w:after="60"/>
        <w:ind w:left="369" w:hanging="312"/>
      </w:pPr>
      <w:r>
        <w:rPr>
          <w:rFonts w:ascii="Arial" w:hAnsi="Arial" w:eastAsia="Arial"/>
          <w:sz w:val="19"/>
        </w:rPr>
        <w:t xml:space="preserve">10.  </w:t>
      </w:r>
      <w:r>
        <w:rPr>
          <w:rFonts w:ascii="Arial" w:hAnsi="Arial" w:eastAsia="Arial"/>
          <w:sz w:val="19"/>
        </w:rPr>
        <w:t>Перед публикацией отчета выполнять сверку банка, бухгалтерского учета, начислений и реестра обязательств.</w:t>
      </w:r>
    </w:p>
    <w:p>
      <w:pPr>
        <w:pStyle w:val="Heading1"/>
      </w:pPr>
      <w:r>
        <w:t>15. Универсальный Excel-шаблон ежеквартальной отчетности</w:t>
      </w:r>
    </w:p>
    <w:p>
      <w:pPr>
        <w:spacing w:after="100"/>
      </w:pPr>
      <w:r>
        <w:rPr>
          <w:rFonts w:ascii="Arial" w:hAnsi="Arial" w:eastAsia="Arial"/>
          <w:sz w:val="20"/>
        </w:rPr>
        <w:t>Отдельно подготовлен рабочий Excel-файл с 17 листами. Ниже приведена логика заполнения и ключевые формулы.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8"/>
        <w:gridCol w:w="3438"/>
        <w:gridCol w:w="3438"/>
      </w:tblGrid>
      <w:tr>
        <w:trPr>
          <w:tblHeader w:val="true"/>
        </w:trPr>
        <w:tc>
          <w:tcPr>
            <w:tcW w:type="dxa" w:w="2154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Лист</w:t>
            </w:r>
          </w:p>
        </w:tc>
        <w:tc>
          <w:tcPr>
            <w:tcW w:type="dxa" w:w="3969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Основные колонки</w:t>
            </w:r>
          </w:p>
        </w:tc>
        <w:tc>
          <w:tcPr>
            <w:tcW w:type="dxa" w:w="3515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Ключевая логика/формула</w:t>
            </w:r>
          </w:p>
        </w:tc>
      </w:tr>
      <w:tr>
        <w:trPr>
          <w:cantSplit/>
        </w:trPr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1. Дашборд</w:t>
            </w:r>
          </w:p>
        </w:tc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Период, начислено, поступило, собираемость, долг, расходы, остаток, обязательства, свободный остаток, графики.</w:t>
            </w:r>
          </w:p>
        </w:tc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Собираемость = Поступило по текущим начислениям / Начислено; свободный остаток = деньги на счетах − обязательства ближайшего периода.</w:t>
            </w:r>
          </w:p>
        </w:tc>
      </w:tr>
      <w:tr>
        <w:trPr>
          <w:cantSplit/>
        </w:trPr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2. Начисления и поступления</w:t>
            </w:r>
          </w:p>
        </w:tc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Лицевой счет/анонимный ID, месяц, начислено, поступило, период оплаты, погашение старого долга.</w:t>
            </w:r>
          </w:p>
        </w:tc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Недосбор = Начислено − Оплата текущего месяца; отдельная колонка для оплаты старого долга.</w:t>
            </w:r>
          </w:p>
        </w:tc>
      </w:tr>
      <w:tr>
        <w:trPr>
          <w:cantSplit/>
        </w:trPr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3. Задолженность</w:t>
            </w:r>
          </w:p>
        </w:tc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ID, долг на начало, начислено, оплачено, долг на конец, возраст, суд/исполнительное производство.</w:t>
            </w:r>
          </w:p>
        </w:tc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Долг на конец = Долг на начало + Начислено − Все оплаты.</w:t>
            </w:r>
          </w:p>
        </w:tc>
      </w:tr>
      <w:tr>
        <w:trPr>
          <w:cantSplit/>
        </w:trPr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4. Банковские операции</w:t>
            </w:r>
          </w:p>
        </w:tc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Дата, документ, сумма, контрагент, ИНН, назначение, счет/акт, месяц оплаты, период расхода, статья, риск.</w:t>
            </w:r>
          </w:p>
        </w:tc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Лаг = Дата оплаты − последний день периода услуги; контроль = сумма операций по месяцу против оборота банка.</w:t>
            </w:r>
          </w:p>
        </w:tc>
      </w:tr>
      <w:tr>
        <w:trPr>
          <w:cantSplit/>
        </w:trPr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5. Классификация расходов</w:t>
            </w:r>
          </w:p>
        </w:tc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Справочник правил по контрагенту/ключевым словам, статья, подстатья, OPEX/CAPEX, характер.</w:t>
            </w:r>
          </w:p>
        </w:tc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Подтягивание статьи через справочник; ручная проверка операций с низкой уверенностью.</w:t>
            </w:r>
          </w:p>
        </w:tc>
      </w:tr>
      <w:tr>
        <w:trPr>
          <w:cantSplit/>
        </w:trPr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6. План-факт</w:t>
            </w:r>
          </w:p>
        </w:tc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Статья, годовой план, план периода, факт касса, факт начисления, отклонение, остаток бюджета, прогноз.</w:t>
            </w:r>
          </w:p>
        </w:tc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Отклонение = Факт − План; прогноз = факт с начала года + подтвержденные будущие обязательства.</w:t>
            </w:r>
          </w:p>
        </w:tc>
      </w:tr>
      <w:tr>
        <w:trPr>
          <w:cantSplit/>
        </w:trPr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7. ФОТ и налоги</w:t>
            </w:r>
          </w:p>
        </w:tc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Должность/анонимный ID, начисление, аванс, зарплата, премия, НДФЛ, взносы, месяц.</w:t>
            </w:r>
          </w:p>
        </w:tc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Контроль: начислено = выплаты + удержания; сверка с банковскими реестрами и ОСВ.</w:t>
            </w:r>
          </w:p>
        </w:tc>
      </w:tr>
      <w:tr>
        <w:trPr>
          <w:cantSplit/>
        </w:trPr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8. Коммунальные услуги</w:t>
            </w:r>
          </w:p>
        </w:tc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Поставщик, услуга, период, объем, тариф, начислено, оплачено, дата, долг, лаг.</w:t>
            </w:r>
          </w:p>
        </w:tc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Долг = начислено − оплачено; изменение тарифа и потребления показывать отдельно.</w:t>
            </w:r>
          </w:p>
        </w:tc>
      </w:tr>
      <w:tr>
        <w:trPr>
          <w:cantSplit/>
        </w:trPr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9. КНС и ВЗУ</w:t>
            </w:r>
          </w:p>
        </w:tc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Объект, работа, плановая/аварийная, дата, подрядчик, акт, сумма, источник, результат.</w:t>
            </w:r>
          </w:p>
        </w:tc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Раздельные итоги по КНС-1, КНС-2 и ВЗУ; отдельный учет старых обязательств.</w:t>
            </w:r>
          </w:p>
        </w:tc>
      </w:tr>
      <w:tr>
        <w:trPr>
          <w:cantSplit/>
        </w:trPr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10. Юридические расходы</w:t>
            </w:r>
          </w:p>
        </w:tc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Дело, предмет, подрядчик, договор, бюджет, оплачено, результат, следующая дата.</w:t>
            </w:r>
          </w:p>
        </w:tc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Остаток бюджета/обязательства = общая стоимость − оплачено.</w:t>
            </w:r>
          </w:p>
        </w:tc>
      </w:tr>
      <w:tr>
        <w:trPr>
          <w:cantSplit/>
        </w:trPr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11. Крупные проекты</w:t>
            </w:r>
          </w:p>
        </w:tc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Проект, решение, бюджет, договор, платежи, остаток, этап, результат, учет имущества.</w:t>
            </w:r>
          </w:p>
        </w:tc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Остаток = бюджет − оплачено; процент готовности подтверждается актами.</w:t>
            </w:r>
          </w:p>
        </w:tc>
      </w:tr>
      <w:tr>
        <w:trPr>
          <w:cantSplit/>
        </w:trPr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12. Кредиторская задолженность</w:t>
            </w:r>
          </w:p>
        </w:tc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Контрагент, документ, период, сумма, оплачено, остаток, срок, приоритет.</w:t>
            </w:r>
          </w:p>
        </w:tc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Остаток = сумма документа − оплачено; просрочка = текущая дата − срок оплаты.</w:t>
            </w:r>
          </w:p>
        </w:tc>
      </w:tr>
      <w:tr>
        <w:trPr>
          <w:cantSplit/>
        </w:trPr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13. Договоры</w:t>
            </w:r>
          </w:p>
        </w:tc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Контрагент, предмет, номер, срок, стоимость, лимит, ответственный, статус, ссылка.</w:t>
            </w:r>
          </w:p>
        </w:tc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Контроль превышения платежей над лимитом договора.</w:t>
            </w:r>
          </w:p>
        </w:tc>
      </w:tr>
      <w:tr>
        <w:trPr>
          <w:cantSplit/>
        </w:trPr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14. Корпоративная карта</w:t>
            </w:r>
          </w:p>
        </w:tc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Дата, сумма, торговая точка, чек, авансовый отчет, ответственное лицо, цель, статья.</w:t>
            </w:r>
          </w:p>
        </w:tc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Флаг риска, если чек/авансовый отчет/цель не заполнены.</w:t>
            </w:r>
          </w:p>
        </w:tc>
      </w:tr>
      <w:tr>
        <w:trPr>
          <w:cantSplit/>
        </w:trPr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15. Вопросы правлению</w:t>
            </w:r>
          </w:p>
        </w:tc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Приоритет, операция, вопрос, запрошенный документ, ответственный, срок, статус.</w:t>
            </w:r>
          </w:p>
        </w:tc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Просроченные ответы выделяются автоматически.</w:t>
            </w:r>
          </w:p>
        </w:tc>
      </w:tr>
      <w:tr>
        <w:trPr>
          <w:cantSplit/>
        </w:trPr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16. Справочники статей</w:t>
            </w:r>
          </w:p>
        </w:tc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Статья, подстатья, строка сметы, тип, характер, лимит согласования.</w:t>
            </w:r>
          </w:p>
        </w:tc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Единая классификация для всех периодов.</w:t>
            </w:r>
          </w:p>
        </w:tc>
      </w:tr>
      <w:tr>
        <w:trPr>
          <w:cantSplit/>
        </w:trPr>
        <w:tc>
          <w:tcPr>
            <w:tcW w:type="dxa" w:w="215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17. Смета 2025</w:t>
            </w:r>
          </w:p>
        </w:tc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Структурированный исторический документ по месяцам.</w:t>
            </w:r>
          </w:p>
        </w:tc>
        <w:tc>
          <w:tcPr>
            <w:tcW w:type="dxa" w:w="351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5"/>
              </w:rPr>
              <w:t>Используется только как ориентир, пока нет утвержденной сметы 2026 года.</w:t>
            </w:r>
          </w:p>
        </w:tc>
      </w:tr>
    </w:tbl>
    <w:p>
      <w:pPr>
        <w:spacing w:after="0"/>
      </w:pPr>
    </w:p>
    <w:p>
      <w:pPr>
        <w:pStyle w:val="Heading1"/>
      </w:pPr>
      <w:r>
        <w:t>16. Предлагаемый формат публичного отчета</w:t>
      </w:r>
    </w:p>
    <w:p>
      <w:pPr>
        <w:pStyle w:val="ListBullet"/>
        <w:spacing w:after="60"/>
        <w:ind w:left="283" w:hanging="142"/>
      </w:pPr>
      <w:r>
        <w:rPr>
          <w:rFonts w:ascii="Arial" w:hAnsi="Arial" w:eastAsia="Arial"/>
          <w:sz w:val="19"/>
        </w:rPr>
        <w:t>Страница 1 — главные показатели: начислено, поступило, собираемость, долг, расходы, остаток, обязательства, свободный остаток.</w:t>
      </w:r>
    </w:p>
    <w:p>
      <w:pPr>
        <w:pStyle w:val="ListBullet"/>
        <w:spacing w:after="60"/>
        <w:ind w:left="283" w:hanging="142"/>
      </w:pPr>
      <w:r>
        <w:rPr>
          <w:rFonts w:ascii="Arial" w:hAnsi="Arial" w:eastAsia="Arial"/>
          <w:sz w:val="19"/>
        </w:rPr>
        <w:t>Страница 2 — структура расходов по крупным категориям и долям.</w:t>
      </w:r>
    </w:p>
    <w:p>
      <w:pPr>
        <w:pStyle w:val="ListBullet"/>
        <w:spacing w:after="60"/>
        <w:ind w:left="283" w:hanging="142"/>
      </w:pPr>
      <w:r>
        <w:rPr>
          <w:rFonts w:ascii="Arial" w:hAnsi="Arial" w:eastAsia="Arial"/>
          <w:sz w:val="19"/>
        </w:rPr>
        <w:t>Страница 3 — официальный план-факт по действующей смете с объяснением отклонений.</w:t>
      </w:r>
    </w:p>
    <w:p>
      <w:pPr>
        <w:pStyle w:val="ListBullet"/>
        <w:spacing w:after="60"/>
        <w:ind w:left="283" w:hanging="142"/>
      </w:pPr>
      <w:r>
        <w:rPr>
          <w:rFonts w:ascii="Arial" w:hAnsi="Arial" w:eastAsia="Arial"/>
          <w:sz w:val="19"/>
        </w:rPr>
        <w:t>Страница 4 — крупные работы: что сделано, где, подрядчик, стоимость, результат и ссылка на акт/фото.</w:t>
      </w:r>
    </w:p>
    <w:p>
      <w:pPr>
        <w:pStyle w:val="ListBullet"/>
        <w:spacing w:after="60"/>
        <w:ind w:left="283" w:hanging="142"/>
      </w:pPr>
      <w:r>
        <w:rPr>
          <w:rFonts w:ascii="Arial" w:hAnsi="Arial" w:eastAsia="Arial"/>
          <w:sz w:val="19"/>
        </w:rPr>
        <w:t>Страница 5 — обязательства и план следующего периода: коммунальные платежи, ремонты, суды, необходимые решения жителей.</w:t>
      </w:r>
    </w:p>
    <w:p>
      <w:pPr>
        <w:sectPr>
          <w:headerReference w:type="default" r:id="rId9"/>
          <w:footerReference w:type="default" r:id="rId10"/>
          <w:pgSz w:w="12240" w:h="15840"/>
          <w:pgMar w:top="964" w:right="907" w:bottom="850" w:left="1020" w:header="397" w:footer="397" w:gutter="0"/>
          <w:cols w:space="720"/>
          <w:docGrid w:linePitch="360"/>
        </w:sectPr>
      </w:pPr>
    </w:p>
    <w:p>
      <w:pPr>
        <w:pStyle w:val="Heading1"/>
      </w:pPr>
      <w:r>
        <w:t>Приложение 1. Все платежи свыше 50 000 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1191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3"/>
              </w:rPr>
              <w:t>Дата</w:t>
            </w:r>
          </w:p>
        </w:tc>
        <w:tc>
          <w:tcPr>
            <w:tcW w:type="dxa" w:w="1417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3"/>
              </w:rPr>
              <w:t>Сумма</w:t>
            </w:r>
          </w:p>
        </w:tc>
        <w:tc>
          <w:tcPr>
            <w:tcW w:type="dxa" w:w="2948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3"/>
              </w:rPr>
              <w:t>Контрагент</w:t>
            </w:r>
          </w:p>
        </w:tc>
        <w:tc>
          <w:tcPr>
            <w:tcW w:type="dxa" w:w="2494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3"/>
              </w:rPr>
              <w:t>Экономический смысл</w:t>
            </w:r>
          </w:p>
        </w:tc>
        <w:tc>
          <w:tcPr>
            <w:tcW w:type="dxa" w:w="1191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3"/>
              </w:rPr>
              <w:t>Период</w:t>
            </w:r>
          </w:p>
        </w:tc>
        <w:tc>
          <w:tcPr>
            <w:tcW w:type="dxa" w:w="3402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3"/>
              </w:rPr>
              <w:t>Историческая строка сметы</w:t>
            </w:r>
          </w:p>
        </w:tc>
        <w:tc>
          <w:tcPr>
            <w:tcW w:type="dxa" w:w="1020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3"/>
              </w:rPr>
              <w:t>Риск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05.05.2026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54 399,00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Казначейство России (ФНС России)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НДФЛ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2026-04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ФОТ — необходимо проверить, включены ли налоги и взносы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FF2CC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желтый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05.05.2026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102 500,00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АО "АЛЬФА-БАНК"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Заработная плата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2026-04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ФОТ (управляющий, бригадир, дворники, главный инженер)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D3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зеленый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05.05.2026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160 680,50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АО "АЛЬФА-БАНК"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Заработная плата нерезидентам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2026-04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ФОТ (управляющий, бригадир, дворники, главный инженер)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D3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зеленый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06.05.2026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55 004,00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АО "АЛЬФА-БАНК"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Премии нерезидентам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2026-04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ФОТ (управляющий, бригадир, дворники, главный инженер)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D3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зеленый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06.05.2026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63 131,00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Казначейство России (ФНС России)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НДФЛ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2026-05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ФОТ — необходимо проверить, включены ли налоги и взносы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FF2CC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желтый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12.05.2026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179 400,00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ООО "ВЫМПЕЛ"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Вывоз мусора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2026-03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Расходы на вывоз мусора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D3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зеленый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14.05.2026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92 833,15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ОАО "Химкинский водоканал"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Водоотведение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2026-03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Содержание и обслуживание КНС-1 и КНС-2, вкл. услуги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FF2CC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желтый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14.05.2026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94 100,00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ООО "Мои Финансы"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Бухгалтерское сопровождение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2026-04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Бухгалтерское сопровождение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FF2CC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желтый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15.05.2026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305 115,85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АО "МОСЭНЕРГОСБЫТ"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Электроэнергия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2026-04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Затраты на электроэнергию для имущества общего пользования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FF2CC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желтый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20.05.2026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167 503,00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АО "АЛЬФА-БАНК"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Авансы нерезидентам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2026-05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ФОТ (управляющий, бригадир, дворники, главный инженер)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D3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зеленый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21.05.2026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86 500,00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ИП Пономарева Татьяна Валерьевна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Абонентское юридическое сопровождение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2026-05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Юридические услуги (нерегулярные расходы)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FF2CC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желтый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21.05.2026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87 500,00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АО "АЛЬФА-БАНК"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Авансы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2026-05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ФОТ (управляющий, бригадир, дворники, главный инженер)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D3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зеленый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28.05.2026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276 416,18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Казначейство России (ФНС России)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Страховые взносы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2026-04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ФОТ — необходимо проверить, включены ли налоги и взносы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FF2CC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желтый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03.06.2026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179 400,00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ООО "ВЫМПЕЛ"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Вывоз мусора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2026-04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Расходы на вывоз мусора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D3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зеленый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05.06.2026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54 540,00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Казначейство России (ФНС России)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НДФЛ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2026-06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ФОТ — необходимо проверить, включены ли налоги и взносы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FF2CC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желтый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05.06.2026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55 000,00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АО "АЛЬФА-БАНК"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Премии нерезидентам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2026-05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ФОТ (управляющий, бригадир, дворники, главный инженер)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D3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зеленый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05.06.2026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102 500,00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АО "АЛЬФА-БАНК"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Заработная плата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2026-05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ФОТ (управляющий, бригадир, дворники, главный инженер)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D3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зеленый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05.06.2026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167 501,00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АО "АЛЬФА-БАНК"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Заработная плата нерезидентам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2026-05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ФОТ (управляющий, бригадир, дворники, главный инженер)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D3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зеленый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09.06.2026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73 000,00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Гаврилов Андрей Владимирович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Ремонт башенных часов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2026-05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Непредвиденные расходы / вне сметы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4CCCC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красный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11.06.2026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74 750,00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ООО "Мои Финансы"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Бухгалтерское сопровождение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2026-05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Бухгалтерское сопровождение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FF2CC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желтый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15.06.2026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413 937,00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АО "МОСЭНЕРГОСБЫТ"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Электроэнергия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2026-02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Затраты на электроэнергию для имущества общего пользования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4CCCC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красный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16.06.2026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127 271,37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ОАО "Химкинский водоканал"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Водоотведение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2026-04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Содержание и обслуживание КНС-1 и КНС-2, вкл. услуги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FF2CC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желтый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19.06.2026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53 500,00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ИП Пономарева Татьяна Валерьевна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Абонентское юридическое сопровождение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2026-06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Юридические услуги (нерегулярные расходы)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4CCCC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красный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19.06.2026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53 500,00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ИП Пономарева Татьяна Валерьевна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Абонентское юридическое сопровождение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2026-06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Юридические услуги (нерегулярные расходы)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4CCCC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красный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19.06.2026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57 387,00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Казначейство России (ФНС России)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НДФЛ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2026-06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ФОТ — необходимо проверить, включены ли налоги и взносы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FF2CC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желтый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19.06.2026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81 750,00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АО "АЛЬФА-БАНК"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Авансы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2026-06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ФОТ (управляющий, бригадир, дворники, главный инженер)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D3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зеленый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19.06.2026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167 501,00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АО "АЛЬФА-БАНК"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Авансы нерезидентам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2026-06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ФОТ (управляющий, бригадир, дворники, главный инженер)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D3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зеленый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29.06.2026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150 000,00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АО "МОСЭНЕРГОСБЫТ"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Электроэнергия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2026-03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Затраты на электроэнергию для имущества общего пользования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4CCCC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красный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07.07.2026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55 005,00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АО "АЛЬФА-БАНК"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Премии нерезидентам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2026-06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ФОТ (управляющий, бригадир, дворники, главный инженер)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D3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зеленый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07.07.2026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167 499,00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АО "АЛЬФА-БАНК"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Заработная плата нерезидентам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2026-06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ФОТ (управляющий, бригадир, дворники, главный инженер)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D3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зеленый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08.07.2026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200 001,90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Казначейство России (ФНС России)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Страховые взносы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2026-05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ФОТ — необходимо проверить, включены ли налоги и взносы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FF2CC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желтый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10.07.2026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150 000,00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АО "МОСЭНЕРГОСБЫТ"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Электроэнергия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2026-03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Затраты на электроэнергию для имущества общего пользования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4CCCC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красный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14.07.2026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185 250,00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ООО "ВЫМПЕЛ"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Вывоз мусора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2026-05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Расходы на вывоз мусора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D3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зеленый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16.07.2026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92 500,00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ИП Пономарева Татьяна Валерьевна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Абонентское юридическое сопровождение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2026-07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Юридические услуги (нерегулярные расходы)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FF2CC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желтый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21.07.2026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167 500,00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АО "АЛЬФА-БАНК"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Авансы нерезидентам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2026-07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ФОТ (управляющий, бригадир, дворники, главный инженер)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D3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зеленый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21.07.2026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239 616,17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Казначейство России (ФНС России)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Страховые взносы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2026-06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ФОТ — необходимо проверить, включены ли налоги и взносы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FF2CC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желтый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22.07.2026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102 194,41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ОАО "Химкинский водоканал"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Водоотведение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2026-05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Содержание и обслуживание КНС-1 и КНС-2, вкл. услуги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FF2CC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желтый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23.07.2026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69 750,00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ООО "Мои Финансы"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Бухгалтерское сопровождение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2026-07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Бухгалтерское сопровождение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FF2CC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желтый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23.07.2026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81 800,00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ООО "Мои Финансы"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Бухгалтерское сопровождение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2026-06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Бухгалтерское сопровождение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FF2CC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желтый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23.07.2026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82 000,00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ИП Бородкин Сергей Андреевич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КНС — ассенизация/илосос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2026-07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Содержание и обслуживание КНС-1 и КНС-2, вкл. услуги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4CCCC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красный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24.07.2026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54 152,00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ООО "ПРОФИЛЬ ТРЕЙД"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Арматура, трубы, пластины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2026-07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Модернизация многофункциональной площадки / вне сметы — требует подтверждения проекта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4CCCC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красный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24.07.2026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61 925,98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УФК по г.Москве (Филиал ФБУЗ "Центр гигиены и эпидемиологии в городе Москве" в Зеленоградском административном округе города Москвы л/с 20736U27450)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ВЗУ — лабораторные анализы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2026-07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Обслуживание ВЗУ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FF2CC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желтый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27.07.2026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52 880,00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ООО "ВсеИнструменты.ру"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Вышка-тура / оборудование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2026-07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Модернизация многофункциональной площадки / вне сметы — требует подтверждения проекта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4CCCC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красный</w:t>
            </w:r>
          </w:p>
        </w:tc>
      </w:tr>
      <w:tr>
        <w:trPr>
          <w:cantSplit/>
        </w:trPr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29.07.2026</w:t>
            </w:r>
          </w:p>
        </w:tc>
        <w:tc>
          <w:tcPr>
            <w:tcW w:type="dxa" w:w="141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69 500,00 ₽</w:t>
            </w:r>
          </w:p>
        </w:tc>
        <w:tc>
          <w:tcPr>
            <w:tcW w:type="dxa" w:w="294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ООО "ПРОФИЛЬ ТРЕЙД"</w:t>
            </w:r>
          </w:p>
        </w:tc>
        <w:tc>
          <w:tcPr>
            <w:tcW w:type="dxa" w:w="249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Профнастил</w:t>
            </w:r>
          </w:p>
        </w:tc>
        <w:tc>
          <w:tcPr>
            <w:tcW w:type="dxa" w:w="119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2026-07</w:t>
            </w:r>
          </w:p>
        </w:tc>
        <w:tc>
          <w:tcPr>
            <w:tcW w:type="dxa" w:w="34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Модернизация многофункциональной площадки / вне сметы — требует подтверждения проекта</w:t>
            </w:r>
          </w:p>
        </w:tc>
        <w:tc>
          <w:tcPr>
            <w:tcW w:type="dxa" w:w="102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4CCCC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3"/>
              </w:rPr>
              <w:t>красный</w:t>
            </w:r>
          </w:p>
        </w:tc>
      </w:tr>
    </w:tbl>
    <w:p>
      <w:pPr>
        <w:spacing w:after="0"/>
      </w:pPr>
    </w:p>
    <w:p>
      <w:pPr>
        <w:pStyle w:val="Heading1"/>
      </w:pPr>
      <w:r>
        <w:t>Приложение 2. Контрольные суммы и технические замечания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91"/>
        <w:gridCol w:w="3591"/>
        <w:gridCol w:w="3591"/>
        <w:gridCol w:w="3591"/>
      </w:tblGrid>
      <w:tr>
        <w:trPr>
          <w:tblHeader w:val="true"/>
        </w:trPr>
        <w:tc>
          <w:tcPr>
            <w:tcW w:type="dxa" w:w="1701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Файл/месяц</w:t>
            </w:r>
          </w:p>
        </w:tc>
        <w:tc>
          <w:tcPr>
            <w:tcW w:type="dxa" w:w="1134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Операций</w:t>
            </w:r>
          </w:p>
        </w:tc>
        <w:tc>
          <w:tcPr>
            <w:tcW w:type="dxa" w:w="1814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Сумма операций</w:t>
            </w:r>
          </w:p>
        </w:tc>
        <w:tc>
          <w:tcPr>
            <w:tcW w:type="dxa" w:w="7937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Замечание</w:t>
            </w:r>
          </w:p>
        </w:tc>
      </w:tr>
      <w:tr>
        <w:trPr>
          <w:cantSplit/>
        </w:trPr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Май 2026</w:t>
            </w:r>
          </w:p>
        </w:tc>
        <w:tc>
          <w:tcPr>
            <w:tcW w:type="dxa" w:w="113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52</w:t>
            </w:r>
          </w:p>
        </w:tc>
        <w:tc>
          <w:tcPr>
            <w:tcW w:type="dxa" w:w="181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1 961 435,66 ₽</w:t>
            </w:r>
          </w:p>
        </w:tc>
        <w:tc>
          <w:tcPr>
            <w:tcW w:type="dxa" w:w="793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Выборка заканчивается 29.05.2026. В шапке файла указан дебетовый оборот 19 614 358,66 ₽, который не совпадает с суммой операций и, вероятно, содержит лишнюю цифру; требуется исходная PDF-выписка.</w:t>
            </w:r>
          </w:p>
        </w:tc>
      </w:tr>
      <w:tr>
        <w:trPr>
          <w:cantSplit/>
        </w:trPr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Июнь 2026</w:t>
            </w:r>
          </w:p>
        </w:tc>
        <w:tc>
          <w:tcPr>
            <w:tcW w:type="dxa" w:w="113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72</w:t>
            </w:r>
          </w:p>
        </w:tc>
        <w:tc>
          <w:tcPr>
            <w:tcW w:type="dxa" w:w="181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2 016 018,47 ₽</w:t>
            </w:r>
          </w:p>
        </w:tc>
        <w:tc>
          <w:tcPr>
            <w:tcW w:type="dxa" w:w="793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Сумма операций совпадает с контрольным значением.</w:t>
            </w:r>
          </w:p>
        </w:tc>
      </w:tr>
      <w:tr>
        <w:trPr>
          <w:cantSplit/>
        </w:trPr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Июль 2026</w:t>
            </w:r>
          </w:p>
        </w:tc>
        <w:tc>
          <w:tcPr>
            <w:tcW w:type="dxa" w:w="113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86</w:t>
            </w:r>
          </w:p>
        </w:tc>
        <w:tc>
          <w:tcPr>
            <w:tcW w:type="dxa" w:w="181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2 491 074,96 ₽</w:t>
            </w:r>
          </w:p>
        </w:tc>
        <w:tc>
          <w:tcPr>
            <w:tcW w:type="dxa" w:w="793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Сумма операций совпадает с контрольным значением.</w:t>
            </w:r>
          </w:p>
        </w:tc>
      </w:tr>
      <w:tr>
        <w:trPr>
          <w:cantSplit/>
        </w:trPr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Всего</w:t>
            </w:r>
          </w:p>
        </w:tc>
        <w:tc>
          <w:tcPr>
            <w:tcW w:type="dxa" w:w="113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210</w:t>
            </w:r>
          </w:p>
        </w:tc>
        <w:tc>
          <w:tcPr>
            <w:tcW w:type="dxa" w:w="181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6 468 529,09 ₽</w:t>
            </w:r>
          </w:p>
        </w:tc>
        <w:tc>
          <w:tcPr>
            <w:tcW w:type="dxa" w:w="7937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Контрольное сложение выполнено; кредитовый оборот во всех выгрузках равен нулю.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14"/>
      <w:footerReference w:type="default" r:id="rId15"/>
      <w:type w:val="nextColumn"/>
      <w:pgSz w:w="15840" w:h="12240" w:orient="landscape"/>
      <w:pgMar w:top="794" w:right="737" w:bottom="737" w:left="73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color w:val="6B7280"/>
        <w:sz w:val="16"/>
      </w:rPr>
      <w:t xml:space="preserve">Страница </w:t>
      <w:fldChar w:fldCharType="begin"/>
      <w:instrText xml:space="preserve">PAGE</w:instrTex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color w:val="6B7280"/>
        <w:sz w:val="16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4" w:color="5B9BD5"/>
      </w:pBdr>
    </w:pPr>
    <w:r>
      <w:rPr>
        <w:rFonts w:ascii="Arial" w:hAnsi="Arial" w:eastAsia="Arial"/>
        <w:color w:val="6B7280"/>
        <w:sz w:val="16"/>
      </w:rPr>
      <w:t>Аналитическая справка ТСН «Фирсановка Лайф» • май—июль 2026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 w:eastAsia="Arial"/>
        <w:color w:val="6B7280"/>
        <w:sz w:val="16"/>
      </w:rPr>
      <w:t>Приложение 1 • Платежи свыше 50 000 ₽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F4E7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1F4E7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1F2937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rial" w:hAnsi="Arial"/>
      <w:b/>
      <w:color w:val="1F4E78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header" Target="header2.xml"/><Relationship Id="rId1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