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38"/>
        </w:rPr>
        <w:t>Пояснительная записка к проекту бюджета ТСН «Фирсановка Лайф» на 2026/2027 год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r/>
            <w:r>
              <w:rPr>
                <w:b w:val="0"/>
                <w:color w:val="17365D"/>
                <w:sz w:val="18"/>
              </w:rPr>
              <w:t>Статус документа: рабочий проект. Числовые значения должны быть заполнены по реестрам начислений, договорам, банковским выпискам, актам и коммерческим предложениям до вынесения бюджета на утверждение.</w:t>
            </w:r>
          </w:p>
        </w:tc>
      </w:tr>
    </w:tbl>
    <w:p/>
    <w:p>
      <w:pPr>
        <w:pStyle w:val="Heading1"/>
      </w:pPr>
      <w:r>
        <w:t>1. Назначение документа</w:t>
      </w:r>
    </w:p>
    <w:p>
      <w:r>
        <w:t>Пояснительная записка предназначена для того, чтобы жители могли понять не только итоговые суммы сметы, но и логику их формирования: какие объекты обслуживает ТСН, какие работы обязательны, какие проекты относятся к развитию, какие риски учтены и какой финансовый резерв планируется сохранить.</w:t>
      </w:r>
    </w:p>
    <w:p>
      <w:pPr>
        <w:pStyle w:val="Heading1"/>
      </w:pPr>
      <w:r>
        <w:t>2. Основания для подготовки бюджета</w:t>
      </w:r>
    </w:p>
    <w:p>
      <w:pPr>
        <w:pStyle w:val="ListBullet"/>
      </w:pPr>
      <w:r>
        <w:t>сметы доходов и расходов ТСН за 2024 и 2025 годы;</w:t>
      </w:r>
    </w:p>
    <w:p>
      <w:pPr>
        <w:pStyle w:val="ListBullet"/>
      </w:pPr>
      <w:r>
        <w:t>банковские выписки и карточки счета, предоставленные для анализа;</w:t>
      </w:r>
    </w:p>
    <w:p>
      <w:pPr>
        <w:pStyle w:val="ListBullet"/>
      </w:pPr>
      <w:r>
        <w:t>данные о состоянии КНС, ВЗУ, освещения, дорог, калиток и общественных зон;</w:t>
      </w:r>
    </w:p>
    <w:p>
      <w:pPr>
        <w:pStyle w:val="ListBullet"/>
      </w:pPr>
      <w:r>
        <w:t>план работ правления на лето/осень;</w:t>
      </w:r>
    </w:p>
    <w:p>
      <w:pPr>
        <w:pStyle w:val="ListBullet"/>
      </w:pPr>
      <w:r>
        <w:t>данные о задолженности, судебной работе и фактических расходах;</w:t>
      </w:r>
    </w:p>
    <w:p>
      <w:pPr>
        <w:pStyle w:val="ListBullet"/>
      </w:pPr>
      <w:r>
        <w:t>коммерческие предложения и дефектные ведомости по крупным работам.</w:t>
      </w:r>
    </w:p>
    <w:p>
      <w:pPr>
        <w:pStyle w:val="Heading1"/>
      </w:pPr>
      <w:r>
        <w:t>3. Основные недостатки прежнего формата</w:t>
      </w:r>
    </w:p>
    <w:p>
      <w:r>
        <w:t>Прежняя форма сметы содержит помесячные суммы доходов и расходов, но не всегда показывает расчет статьи, объем услуги, периодичность, связь с выполненной работой и причины отклонений. Поэтому в новом формате предлагается разделить эксплуатационные расходы, проекты развития, резервы и фактическое исполнение бюджета.</w:t>
      </w:r>
    </w:p>
    <w:p>
      <w:pPr>
        <w:pStyle w:val="Heading1"/>
      </w:pPr>
      <w:r>
        <w:t>4. Ключевые параметры бюджета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Показатель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5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Источник / комментарий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Количество лицевых счетов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Реестр собственников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Расчетная площадь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 м²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Реестр начислений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Плановая собираемость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 %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Сценарный расчет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Остаток на начало периода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Банковская выписка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Минимальный резерв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Не менее 2–3 месяцев обязательных расходов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Период бюджета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01.09.2026–31.08.2027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Уточнить по решению собрания</w:t>
            </w:r>
          </w:p>
        </w:tc>
      </w:tr>
    </w:tbl>
    <w:p/>
    <w:p>
      <w:pPr>
        <w:pStyle w:val="Heading1"/>
      </w:pPr>
      <w:r>
        <w:t>5. Доходная часть</w:t>
      </w:r>
    </w:p>
    <w:p>
      <w:r>
        <w:t>Доходы рекомендуется планировать отдельно по регулярным начислениям, целевым взносам, коммунальным платежам, погашению текущей задолженности, поступлениям по судебным решениям и прочим доходам. Поступления по долгам не следует считать гарантированным источником финансирования обязательных расходов без консервативного сценария.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Статья</w:t>
            </w:r>
          </w:p>
        </w:tc>
        <w:tc>
          <w:tcPr>
            <w:tcW w:type="dxa" w:w="3969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Порядок расчета</w:t>
            </w:r>
          </w:p>
        </w:tc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Риск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Регулярные взносы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База начислений × тариф × плановая собираемость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Недосбор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Коммунальные платежи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Плановый объем × тариф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Рост тарифов и потребления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Погашение задолженности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План урегулирования и взыскания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Сроки судов и исполнительных производств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Целевые взносы</w:t>
            </w:r>
          </w:p>
        </w:tc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По отдельному решению собрания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Нецелевое смешение средств</w:t>
            </w:r>
          </w:p>
        </w:tc>
      </w:tr>
    </w:tbl>
    <w:p/>
    <w:p>
      <w:pPr>
        <w:pStyle w:val="Heading1"/>
      </w:pPr>
      <w:r>
        <w:t>6. Расходная часть</w:t>
      </w:r>
    </w:p>
    <w:p>
      <w:r>
        <w:t>Эксплуатационные расходы следует группировать по управлению, персоналу, КНС, ВЗУ, электроэнергии, благоустройству, технике, безопасности, текущему ремонту и резервам. Для каждой крупной статьи прикладывается расчет, договор или коммерческое предложение.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Блок</w:t>
            </w:r>
          </w:p>
        </w:tc>
        <w:tc>
          <w:tcPr>
            <w:tcW w:type="dxa" w:w="45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Что раскрывается</w:t>
            </w:r>
          </w:p>
        </w:tc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Подтверждение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КНС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ТО, промывка, диагностика, аварийные выезды, ремонт насосов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Регламент, договор, акты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ВЗУ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ТО, реагенты, фильтры, лабораторные анализы, аварийный запас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Договоры, протоколы воды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Персонал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Должности, ставки, налоги и зона ответственности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Штатное расписание / договоры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Юридические расходы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Взыскание долгов, защита ТСН, госпошлины, консультации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Реестр дел и договор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Благоустройство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Покос, уборка, снег, ветки, общественные зоны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План работ и акты</w:t>
            </w:r>
          </w:p>
        </w:tc>
      </w:tr>
      <w:tr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Ремонт и развитие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Отдельные проекты с приоритетом, сроком и KPI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Дефектовка, смета, КП</w:t>
            </w:r>
          </w:p>
        </w:tc>
      </w:tr>
    </w:tbl>
    <w:p/>
    <w:p>
      <w:pPr>
        <w:pStyle w:val="Heading1"/>
      </w:pPr>
      <w:r>
        <w:t>7. Программа развития</w:t>
      </w:r>
    </w:p>
    <w:p>
      <w:r>
        <w:t>Проекты развития рекомендуется не смешивать с повседневной эксплуатацией. Для каждого проекта указываются стоимость, приоритет, источник финансирования, ожидаемый результат и условия запуска.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3969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Проект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Приоритет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Бюджет</w:t>
            </w:r>
          </w:p>
        </w:tc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Результат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Автоматизация калитки на детской площадке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Безопасный и стабильный доступ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Восстановление Биг-Бена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Средний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Утвержденный объем ремонта выполнен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Восстановление фонаря у ул. Мцыри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Освещение восстановлено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Ремонт дорог и покрытий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Выполнен согласованный объем, м²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Резерв оборудования КНС/ВЗУ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Сокращение риска остановки систем</w:t>
            </w:r>
          </w:p>
        </w:tc>
      </w:tr>
    </w:tbl>
    <w:p/>
    <w:p>
      <w:pPr>
        <w:pStyle w:val="Heading1"/>
      </w:pPr>
      <w:r>
        <w:t>8. Риски и сценарии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Влияние</w:t>
            </w:r>
          </w:p>
        </w:tc>
        <w:tc>
          <w:tcPr>
            <w:tcW w:type="dxa" w:w="45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Мера управления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Собираемость ниже плана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Кассовый разрыв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Консервативная собираемость, резерв, приоритизация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Авария КНС или ВЗУ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Непредвиденные крупные расходы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Аварийный фонд, запасные части, договор аварийного выезда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Рост тарифов и цен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Перерасход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Индексация и резерв на изменение цен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Задержка взыскания долгов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Недостаток ликвидности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Не финансировать обязательные расходы из неподтвержденных взысканий</w:t>
            </w:r>
          </w:p>
        </w:tc>
      </w:tr>
      <w:tr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Судебный проигрыш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Дополнительные выплаты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Реестр судебных рисков и лимит юридических расходов</w:t>
            </w:r>
          </w:p>
        </w:tc>
      </w:tr>
    </w:tbl>
    <w:p/>
    <w:p>
      <w:pPr>
        <w:pStyle w:val="Heading1"/>
      </w:pPr>
      <w:r>
        <w:t>9. Порядок отчетности</w:t>
      </w:r>
    </w:p>
    <w:p>
      <w:r>
        <w:t>Ежеквартально публикуются: отчет «План / факт», движение денежных средств, динамика задолженности, перечень выполненных работ и краткий дашборд. Существенным считается отклонение более 10% или более установленного правлением денежного порога; оно обязательно сопровождается пояснением и решением.</w:t>
      </w:r>
    </w:p>
    <w:p>
      <w:pPr>
        <w:pStyle w:val="Heading1"/>
      </w:pPr>
      <w:r>
        <w:t>10. Решения, предлагаемые правлению</w:t>
      </w:r>
    </w:p>
    <w:p>
      <w:pPr>
        <w:pStyle w:val="ListNumber"/>
      </w:pPr>
      <w:r>
        <w:t>утвердить единый формат сметы и квартальной отчетности;</w:t>
      </w:r>
    </w:p>
    <w:p>
      <w:pPr>
        <w:pStyle w:val="ListNumber"/>
      </w:pPr>
      <w:r>
        <w:t>назначить ответственных за каждый раздел;</w:t>
      </w:r>
    </w:p>
    <w:p>
      <w:pPr>
        <w:pStyle w:val="ListNumber"/>
      </w:pPr>
      <w:r>
        <w:t>обязать прикладывать расчет к каждой существенной статье;</w:t>
      </w:r>
    </w:p>
    <w:p>
      <w:pPr>
        <w:pStyle w:val="ListNumber"/>
      </w:pPr>
      <w:r>
        <w:t>разделить OPEX, CAPEX, целевые средства и резерв;</w:t>
      </w:r>
    </w:p>
    <w:p>
      <w:pPr>
        <w:pStyle w:val="ListNumber"/>
      </w:pPr>
      <w:r>
        <w:t>публиковать отчет не позднее 30 дней после окончания квартала;</w:t>
      </w:r>
    </w:p>
    <w:p>
      <w:pPr>
        <w:pStyle w:val="ListNumber"/>
      </w:pPr>
      <w:r>
        <w:t>вынести спорные и крупные проекты на отдельное обсуждение жителей.</w:t>
      </w:r>
    </w:p>
    <w:p>
      <w:r>
        <w:t>Приложение: файл «Единый стандарт финансовой отчетности ТСН Фирсановка Лайф.xlsx».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ТСН «Фирсановка Лайф» • рабочий шаблон финансовой отчетности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