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38"/>
        </w:rPr>
        <w:t>Публичный квартальный отчет ТСН «Фирсановка Лайф»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9EAF7"/>
            <w:vAlign w:val="center"/>
          </w:tcPr>
          <w:p>
            <w:r/>
            <w:r>
              <w:rPr>
                <w:b w:val="0"/>
                <w:color w:val="17365D"/>
                <w:sz w:val="18"/>
              </w:rPr>
              <w:t>Шаблон для публикации на сайте. Период: [квартал, даты]. Все суммы приводятся по данным бухгалтерского учета и банковской выписки; персональные данные должников в публичной версии не раскрываются.</w:t>
            </w:r>
          </w:p>
        </w:tc>
      </w:tr>
    </w:tbl>
    <w:p/>
    <w:p>
      <w:pPr>
        <w:pStyle w:val="Heading1"/>
      </w:pPr>
      <w:r>
        <w:t>1. Коротко о квартале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969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Показатель</w:t>
            </w:r>
          </w:p>
        </w:tc>
        <w:tc>
          <w:tcPr>
            <w:tcW w:type="dxa" w:w="2835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Значение</w:t>
            </w:r>
          </w:p>
        </w:tc>
        <w:tc>
          <w:tcPr>
            <w:tcW w:type="dxa" w:w="2835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Изменение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Поступило денег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[заполнить] руб.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[к прошлому кварталу]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Потрачено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[заполнить] руб.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[к плану]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Остаток на счете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[заполнить] руб.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[изменение]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Свободный остаток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[заполнить] руб.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[после резервов]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Общая задолженность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[заполнить] руб.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[рост/снижение]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Собираемость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[заполнить] %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[к цели]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Выполнено работ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[план/факт]</w:t>
            </w:r>
          </w:p>
        </w:tc>
      </w:tr>
    </w:tbl>
    <w:p/>
    <w:p>
      <w:pPr>
        <w:pStyle w:val="Heading1"/>
      </w:pPr>
      <w:r>
        <w:t>2. Что произошло за квартал</w:t>
      </w:r>
    </w:p>
    <w:p>
      <w:r>
        <w:t>[Кратко: основные события, аварии, крупные платежи, достигнутые результаты, решения правления.]</w:t>
      </w:r>
    </w:p>
    <w:p>
      <w:pPr>
        <w:pStyle w:val="Heading1"/>
      </w:pPr>
      <w:r>
        <w:t>3. Исполнение бюджета: план / факт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3402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Статья</w:t>
            </w:r>
          </w:p>
        </w:tc>
        <w:tc>
          <w:tcPr>
            <w:tcW w:type="dxa" w:w="1701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План</w:t>
            </w:r>
          </w:p>
        </w:tc>
        <w:tc>
          <w:tcPr>
            <w:tcW w:type="dxa" w:w="1701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Факт</w:t>
            </w:r>
          </w:p>
        </w:tc>
        <w:tc>
          <w:tcPr>
            <w:tcW w:type="dxa" w:w="1701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Отклонение</w:t>
            </w:r>
          </w:p>
        </w:tc>
        <w:tc>
          <w:tcPr>
            <w:tcW w:type="dxa" w:w="3402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Причина</w:t>
            </w:r>
          </w:p>
        </w:tc>
      </w:tr>
      <w:tr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Доходы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Персонал и налоги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КНС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ВЗУ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Электроэнергия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Благоустройство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Юридические расходы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Ремонт и развитие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</w:tbl>
    <w:p/>
    <w:p>
      <w:pPr>
        <w:pStyle w:val="Heading1"/>
      </w:pPr>
      <w:r>
        <w:t>4. Движение денежных средств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669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Показатель</w:t>
            </w:r>
          </w:p>
        </w:tc>
        <w:tc>
          <w:tcPr>
            <w:tcW w:type="dxa" w:w="3402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Сумма</w:t>
            </w:r>
          </w:p>
        </w:tc>
      </w:tr>
      <w:tr>
        <w:tc>
          <w:tcPr>
            <w:tcW w:type="dxa" w:w="5669"/>
            <w:vAlign w:val="center"/>
          </w:tcPr>
          <w:p>
            <w:r/>
            <w:r>
              <w:rPr>
                <w:b w:val="0"/>
                <w:sz w:val="16"/>
              </w:rPr>
              <w:t>Остаток на начало квартала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</w:tr>
      <w:tr>
        <w:tc>
          <w:tcPr>
            <w:tcW w:type="dxa" w:w="5669"/>
            <w:vAlign w:val="center"/>
          </w:tcPr>
          <w:p>
            <w:r/>
            <w:r>
              <w:rPr>
                <w:b w:val="0"/>
                <w:sz w:val="16"/>
              </w:rPr>
              <w:t>Поступления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</w:tr>
      <w:tr>
        <w:tc>
          <w:tcPr>
            <w:tcW w:type="dxa" w:w="5669"/>
            <w:vAlign w:val="center"/>
          </w:tcPr>
          <w:p>
            <w:r/>
            <w:r>
              <w:rPr>
                <w:b w:val="0"/>
                <w:sz w:val="16"/>
              </w:rPr>
              <w:t>Выплаты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</w:tr>
      <w:tr>
        <w:tc>
          <w:tcPr>
            <w:tcW w:type="dxa" w:w="5669"/>
            <w:vAlign w:val="center"/>
          </w:tcPr>
          <w:p>
            <w:r/>
            <w:r>
              <w:rPr>
                <w:b w:val="0"/>
                <w:sz w:val="16"/>
              </w:rPr>
              <w:t>Остаток на конец квартала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</w:tr>
      <w:tr>
        <w:tc>
          <w:tcPr>
            <w:tcW w:type="dxa" w:w="5669"/>
            <w:vAlign w:val="center"/>
          </w:tcPr>
          <w:p>
            <w:r/>
            <w:r>
              <w:rPr>
                <w:b w:val="0"/>
                <w:sz w:val="16"/>
              </w:rPr>
              <w:t>Целевые средства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</w:tr>
      <w:tr>
        <w:tc>
          <w:tcPr>
            <w:tcW w:type="dxa" w:w="5669"/>
            <w:vAlign w:val="center"/>
          </w:tcPr>
          <w:p>
            <w:r/>
            <w:r>
              <w:rPr>
                <w:b w:val="0"/>
                <w:sz w:val="16"/>
              </w:rPr>
              <w:t>Резерв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</w:tr>
      <w:tr>
        <w:tc>
          <w:tcPr>
            <w:tcW w:type="dxa" w:w="5669"/>
            <w:vAlign w:val="center"/>
          </w:tcPr>
          <w:p>
            <w:r/>
            <w:r>
              <w:rPr>
                <w:b w:val="0"/>
                <w:sz w:val="16"/>
              </w:rPr>
              <w:t>Свободный остаток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[заполнить]</w:t>
            </w:r>
          </w:p>
        </w:tc>
      </w:tr>
    </w:tbl>
    <w:p/>
    <w:p>
      <w:pPr>
        <w:pStyle w:val="Heading1"/>
      </w:pPr>
      <w:r>
        <w:t>5. Задолженность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3969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Показатель</w:t>
            </w:r>
          </w:p>
        </w:tc>
        <w:tc>
          <w:tcPr>
            <w:tcW w:type="dxa" w:w="2268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Начало квартала</w:t>
            </w:r>
          </w:p>
        </w:tc>
        <w:tc>
          <w:tcPr>
            <w:tcW w:type="dxa" w:w="2268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Конец квартала</w:t>
            </w:r>
          </w:p>
        </w:tc>
        <w:tc>
          <w:tcPr>
            <w:tcW w:type="dxa" w:w="2268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Изменение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Общая задолженность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До 3 месяцев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3–12 месяцев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Свыше года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В судебной работе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3969"/>
            <w:vAlign w:val="center"/>
          </w:tcPr>
          <w:p>
            <w:r/>
            <w:r>
              <w:rPr>
                <w:b w:val="0"/>
                <w:sz w:val="16"/>
              </w:rPr>
              <w:t>Фактически взыскано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—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</w:tbl>
    <w:p/>
    <w:p>
      <w:pPr>
        <w:pStyle w:val="Heading1"/>
      </w:pPr>
      <w:r>
        <w:t>6. Выполненные работы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3402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Работа</w:t>
            </w:r>
          </w:p>
        </w:tc>
        <w:tc>
          <w:tcPr>
            <w:tcW w:type="dxa" w:w="1701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Статус</w:t>
            </w:r>
          </w:p>
        </w:tc>
        <w:tc>
          <w:tcPr>
            <w:tcW w:type="dxa" w:w="1701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Стоимость</w:t>
            </w:r>
          </w:p>
        </w:tc>
        <w:tc>
          <w:tcPr>
            <w:tcW w:type="dxa" w:w="3402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2268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Документы</w:t>
            </w:r>
          </w:p>
        </w:tc>
      </w:tr>
      <w:tr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[наименование]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Выполнено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Акт/фото</w:t>
            </w:r>
          </w:p>
        </w:tc>
      </w:tr>
      <w:tr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[наименование]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В работе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КП/договор</w:t>
            </w:r>
          </w:p>
        </w:tc>
      </w:tr>
      <w:tr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[наименование]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Перенесено</w:t>
            </w:r>
          </w:p>
        </w:tc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3402"/>
            <w:vAlign w:val="center"/>
          </w:tcPr>
          <w:p>
            <w:r/>
            <w:r>
              <w:rPr>
                <w:b w:val="0"/>
                <w:sz w:val="16"/>
              </w:rPr>
              <w:t>Причина и новая дата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Решение</w:t>
            </w:r>
          </w:p>
        </w:tc>
      </w:tr>
    </w:tbl>
    <w:p/>
    <w:p>
      <w:pPr>
        <w:pStyle w:val="Heading1"/>
      </w:pPr>
      <w:r>
        <w:t>7. Что не выполнено и почему</w:t>
      </w:r>
    </w:p>
    <w:p>
      <w:r>
        <w:t>[Перечень невыполненных задач, причина, ответственный и новая дата.]</w:t>
      </w:r>
    </w:p>
    <w:p>
      <w:pPr>
        <w:pStyle w:val="Heading1"/>
      </w:pPr>
      <w:r>
        <w:t>8. Основные риски</w:t>
      </w:r>
    </w:p>
    <w:p>
      <w:r>
        <w:t>[Кассовый разрыв, состояние КНС/ВЗУ, судебные риски, рост тарифов, сезонные работы.]</w:t>
      </w:r>
    </w:p>
    <w:p>
      <w:pPr>
        <w:pStyle w:val="Heading1"/>
      </w:pPr>
      <w:r>
        <w:t>9. План следующего квартала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1701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Приоритет</w:t>
            </w:r>
          </w:p>
        </w:tc>
        <w:tc>
          <w:tcPr>
            <w:tcW w:type="dxa" w:w="4535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2268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Бюджет</w:t>
            </w:r>
          </w:p>
        </w:tc>
        <w:tc>
          <w:tcPr>
            <w:tcW w:type="dxa" w:w="2268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Срок</w:t>
            </w:r>
          </w:p>
        </w:tc>
        <w:tc>
          <w:tcPr>
            <w:tcW w:type="dxa" w:w="2835"/>
            <w:shd w:fill="2F75B5"/>
            <w:vAlign w:val="center"/>
          </w:tcPr>
          <w:p>
            <w:r/>
            <w:r>
              <w:rPr>
                <w:b/>
                <w:color w:val="FFFFFF"/>
                <w:sz w:val="16"/>
              </w:rPr>
              <w:t>Ответственный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Высокий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Высокий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  <w:tr>
        <w:tc>
          <w:tcPr>
            <w:tcW w:type="dxa" w:w="1701"/>
            <w:vAlign w:val="center"/>
          </w:tcPr>
          <w:p>
            <w:r/>
            <w:r>
              <w:rPr>
                <w:b w:val="0"/>
                <w:sz w:val="16"/>
              </w:rPr>
              <w:t>Средний</w:t>
            </w:r>
          </w:p>
        </w:tc>
        <w:tc>
          <w:tcPr>
            <w:tcW w:type="dxa" w:w="4535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268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  <w:tc>
          <w:tcPr>
            <w:tcW w:type="dxa" w:w="2835"/>
            <w:vAlign w:val="center"/>
          </w:tcPr>
          <w:p>
            <w:r/>
            <w:r>
              <w:rPr>
                <w:b w:val="0"/>
                <w:sz w:val="16"/>
              </w:rPr>
              <w:t>[ ]</w:t>
            </w:r>
          </w:p>
        </w:tc>
      </w:tr>
    </w:tbl>
    <w:p/>
    <w:p>
      <w:pPr>
        <w:pStyle w:val="Heading1"/>
      </w:pPr>
      <w:r>
        <w:t>10. Приложения</w:t>
      </w:r>
    </w:p>
    <w:p>
      <w:pPr>
        <w:pStyle w:val="ListBullet"/>
      </w:pPr>
      <w:r>
        <w:t>детализированный файл «План / факт»;</w:t>
      </w:r>
    </w:p>
    <w:p>
      <w:pPr>
        <w:pStyle w:val="ListBullet"/>
      </w:pPr>
      <w:r>
        <w:t>банковская выписка или реестр платежей;</w:t>
      </w:r>
    </w:p>
    <w:p>
      <w:pPr>
        <w:pStyle w:val="ListBullet"/>
      </w:pPr>
      <w:r>
        <w:t>акты и фотографии выполненных работ;</w:t>
      </w:r>
    </w:p>
    <w:p>
      <w:pPr>
        <w:pStyle w:val="ListBullet"/>
      </w:pPr>
      <w:r>
        <w:t>отчет по задолженности;</w:t>
      </w:r>
    </w:p>
    <w:p>
      <w:pPr>
        <w:pStyle w:val="ListBullet"/>
      </w:pPr>
      <w:r>
        <w:t>реестр договоров и крупных платежей.</w:t>
      </w:r>
    </w:p>
    <w:sectPr w:rsidR="00FC693F" w:rsidRPr="0006063C" w:rsidSect="00034616">
      <w:footerReference w:type="default" r:id="rId9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ТСН «Фирсановка Лайф» • рабочий шаблон финансовой отчетности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