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5B9BD5"/>
          <w:sz w:val="24"/>
        </w:rPr>
        <w:t>ФИНАНСОВЫЙ ОТЧЕТ ДЛЯ ЖИТЕЛЕЙ</w:t>
      </w:r>
    </w:p>
    <w:p>
      <w:pPr>
        <w:jc w:val="center"/>
      </w:pPr>
      <w:r>
        <w:rPr>
          <w:rFonts w:ascii="Arial" w:hAnsi="Arial" w:eastAsia="Arial"/>
          <w:b/>
          <w:color w:val="1F4E78"/>
          <w:sz w:val="46"/>
        </w:rPr>
        <w:t>ТСН «Фирсановка Лайф»</w:t>
      </w:r>
    </w:p>
    <w:p>
      <w:pPr>
        <w:jc w:val="center"/>
      </w:pPr>
      <w:r>
        <w:rPr>
          <w:rFonts w:ascii="Arial" w:hAnsi="Arial" w:eastAsia="Arial"/>
          <w:b/>
          <w:color w:val="1F2937"/>
          <w:sz w:val="30"/>
        </w:rPr>
        <w:t>Период май — июль 2026 года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2CC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  <w:insideH w:val="single" w:sz="8" w:space="0" w:color="D6B656"/>
              <w:insideV w:val="single" w:sz="8" w:space="0" w:color="D6B656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Что важно знать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Представлены только расходы. Поэтому в этом отчете нельзя достоверно показать начисления, поступления, собираемость, общий долг, остаток денег и свободный остаток.</w:t>
            </w:r>
          </w:p>
        </w:tc>
      </w:tr>
    </w:tbl>
    <w:p>
      <w:pPr>
        <w:spacing w:after="0"/>
      </w:pPr>
    </w:p>
    <w:p>
      <w:pPr>
        <w:pStyle w:val="Heading1"/>
      </w:pPr>
      <w:r>
        <w:t>Главные показатели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216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3969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Значение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Начислено / поступило / собираемость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Нет данных для расчета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Кассовые расходы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6 468 529,09 ₽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Май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1 961 435,66 ₽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Июнь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2 016 018,47 ₽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Июль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2 491 074,96 ₽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Оплата старых периодов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2 553 342,72 ₽ — 39,5%</w:t>
            </w:r>
          </w:p>
        </w:tc>
      </w:tr>
      <w:tr>
        <w:trPr>
          <w:cantSplit/>
        </w:trPr>
        <w:tc>
          <w:tcPr>
            <w:tcW w:type="dxa" w:w="5216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Остаток, обязательства и свободные деньги</w:t>
            </w:r>
          </w:p>
        </w:tc>
        <w:tc>
          <w:tcPr>
            <w:tcW w:type="dxa" w:w="3969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Нет данных для расчета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20000" cy="29362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hly_cas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936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i/>
          <w:color w:val="6B7280"/>
          <w:sz w:val="17"/>
        </w:rPr>
        <w:t>В июле кассовые расходы выросли на 23,6% к июню.</w:t>
      </w:r>
    </w:p>
    <w:p>
      <w:r>
        <w:br w:type="page"/>
      </w:r>
    </w:p>
    <w:p>
      <w:pPr>
        <w:pStyle w:val="Heading1"/>
      </w:pPr>
      <w:r>
        <w:t>На что потрачены деньги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510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Категория</w:t>
            </w:r>
          </w:p>
        </w:tc>
        <w:tc>
          <w:tcPr>
            <w:tcW w:type="dxa" w:w="238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Сумма</w:t>
            </w:r>
          </w:p>
        </w:tc>
        <w:tc>
          <w:tcPr>
            <w:tcW w:type="dxa" w:w="1474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Доля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Фонд оплаты труда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2 823 697,48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43,7%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Коммунальная и инженерная инфраструктура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1 544 107,76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23,9%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Вывоз и обращение с отходами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706 551,61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10,9%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Материалы и эксплуатация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407 931,66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6,3%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Юридические расходы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336 000,00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5,2%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Бухгалтерия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320 400,00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5,0%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Капитальные и проектные расходы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215 805,00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3,3%</w:t>
            </w:r>
          </w:p>
        </w:tc>
      </w:tr>
      <w:tr>
        <w:trPr>
          <w:cantSplit/>
        </w:trPr>
        <w:tc>
          <w:tcPr>
            <w:tcW w:type="dxa" w:w="510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ИТ и связь</w:t>
            </w:r>
          </w:p>
        </w:tc>
        <w:tc>
          <w:tcPr>
            <w:tcW w:type="dxa" w:w="238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41 630,27 ₽</w:t>
            </w:r>
          </w:p>
        </w:tc>
        <w:tc>
          <w:tcPr>
            <w:tcW w:type="dxa" w:w="1474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0,6%</w:t>
            </w:r>
          </w:p>
        </w:tc>
      </w:tr>
    </w:tbl>
    <w:p>
      <w:pPr>
        <w:spacing w:after="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92000" cy="323789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egory_struc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3237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i/>
          <w:color w:val="6B7280"/>
          <w:sz w:val="17"/>
        </w:rPr>
        <w:t>ФОТ — 43,7%; инженерные и коммунальные расходы — 23,9%; отходы — 10,9%.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AF3F8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  <w:insideH w:val="single" w:sz="8" w:space="0" w:color="5B9BD5"/>
              <w:insideV w:val="single" w:sz="8" w:space="0" w:color="5B9BD5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Почему выписка недостаточна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Оплата в июле может относиться к услуге марта, а неоплаченная услуга июля вообще не видна в банке. Поэтому для управления нужны одновременно кассовый отчет и отчет по периоду оказания услуг.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Сопоставление с исторической сметой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4CCCC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  <w:insideH w:val="single" w:sz="8" w:space="0" w:color="C0504D"/>
              <w:insideV w:val="single" w:sz="8" w:space="0" w:color="C0504D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Это не официальный план-факт 2026 года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Утвержденная смета 2026 года не представлена. Сравнение со сметой 2025 года показывает структуру, но не доказывает перерасход или экономию.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3"/>
        <w:gridCol w:w="2063"/>
        <w:gridCol w:w="2063"/>
        <w:gridCol w:w="2063"/>
        <w:gridCol w:w="2063"/>
      </w:tblGrid>
      <w:tr>
        <w:trPr>
          <w:tblHeader w:val="true"/>
        </w:trPr>
        <w:tc>
          <w:tcPr>
            <w:tcW w:type="dxa" w:w="328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Статья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Ориентир 2025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Кассовый факт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Отклонение</w:t>
            </w:r>
          </w:p>
        </w:tc>
        <w:tc>
          <w:tcPr>
            <w:tcW w:type="dxa" w:w="850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ФОТ (включая выплаты, НДФЛ и взносы)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2 357 076,00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2 823 697,48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466 621,48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19,8%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Вывоз мусора/ТКО/контейнеры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539 232,00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706 551,61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167 319,61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31,0%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ТМЦ и эксплуатационные материалы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240 000,00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407 931,66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167 931,66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70,0%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Электроэнергия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255 000,00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1 019 052,85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764 052,85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299,6%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КНС: водоотведение и откачка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133 278,00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436 298,93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303 020,93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227,4%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ВЗУ: обслуживание, анализы, реагенты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162 165,00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88 755,98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-73 409,02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-45,3%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Бухгалтерия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143 616,00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320 400,00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176 784,00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123,1%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Банковское обслуживание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14 559,00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10 664,36 ₽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-3 894,64 ₽</w:t>
            </w:r>
          </w:p>
        </w:tc>
        <w:tc>
          <w:tcPr>
            <w:tcW w:type="dxa" w:w="850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-26,8%</w:t>
            </w:r>
          </w:p>
        </w:tc>
      </w:tr>
    </w:tbl>
    <w:p>
      <w:pPr>
        <w:spacing w:after="0"/>
      </w:pP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Электроэнергия выглядит выше исторического ориентира, но весь платеж относится к февралю—апрелю, то есть это погашение прошлых периодов.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ФОТ нельзя окончательно сравнить, пока не подтверждено, включала ли смета НДФЛ и страховые взносы.</w:t>
      </w:r>
    </w:p>
    <w:p>
      <w:pPr>
        <w:pStyle w:val="ListBullet"/>
        <w:spacing w:after="60"/>
        <w:ind w:left="283" w:hanging="142"/>
      </w:pPr>
      <w:r>
        <w:rPr>
          <w:rFonts w:ascii="Arial" w:hAnsi="Arial" w:eastAsia="Arial"/>
          <w:sz w:val="19"/>
        </w:rPr>
        <w:t>Расходы на материалы следует разделять на текущую эксплуатацию и имущество/капитальные проекты.</w:t>
      </w:r>
    </w:p>
    <w:p>
      <w:r>
        <w:br w:type="page"/>
      </w:r>
    </w:p>
    <w:p>
      <w:pPr>
        <w:pStyle w:val="Heading1"/>
      </w:pPr>
      <w:r>
        <w:t>Крупные работы и операции, требующие пояснения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3288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Операция</w:t>
            </w:r>
          </w:p>
        </w:tc>
        <w:tc>
          <w:tcPr>
            <w:tcW w:type="dxa" w:w="1701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Сумма</w:t>
            </w:r>
          </w:p>
        </w:tc>
        <w:tc>
          <w:tcPr>
            <w:tcW w:type="dxa" w:w="4252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Почему нужен ответ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Два одинаковых юридических платежа 19 июня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107 000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Одинаковые контрагент, договор, акт №19, дата и сумма. Нужны два разных документа либо подтверждение возврата/зачета.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Электроэнергия за февраль—март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713 937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Лаг 90–107 дней; нужен акт сверки и остаток долга.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Мировое соглашение ООО «ПРО-ЭКС»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50 000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Нужны общая сумма, график и остаток обязательства.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Корпоративная карта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113 437,61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47 операций; чеки и авансовые отчеты не представлены.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Проектные покупки в июле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215 805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Нужны проект, место, решение, бюджет и учет имущества.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КНС: откачка и илосос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114 000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Оплачены старые и текущие счета; нужно разделить плановые и аварийные работы.</w:t>
            </w:r>
          </w:p>
        </w:tc>
      </w:tr>
      <w:tr>
        <w:trPr>
          <w:cantSplit/>
        </w:trPr>
        <w:tc>
          <w:tcPr>
            <w:tcW w:type="dxa" w:w="3288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Дезинсекция по счету 2022 года</w:t>
            </w:r>
          </w:p>
        </w:tc>
        <w:tc>
          <w:tcPr>
            <w:tcW w:type="dxa" w:w="1701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8 000 ₽</w:t>
            </w:r>
          </w:p>
        </w:tc>
        <w:tc>
          <w:tcPr>
            <w:tcW w:type="dxa" w:w="4252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6"/>
              </w:rPr>
              <w:t>Нужно подтвердить период услуги и отсутствие старой задолженности/ошибки.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AF3F8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  <w:insideH w:val="single" w:sz="8" w:space="0" w:color="5B9BD5"/>
              <w:insideV w:val="single" w:sz="8" w:space="0" w:color="5B9BD5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Нейтральный вывод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Наличие вопроса не означает нарушение. Это означает, что по банковскому назначению нельзя проверить хозяйственный смысл без счета, акта, решения или чека.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Что нужно сделать к следующему отчету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1.  </w:t>
      </w:r>
      <w:r>
        <w:rPr>
          <w:rFonts w:ascii="Arial" w:hAnsi="Arial" w:eastAsia="Arial"/>
          <w:sz w:val="19"/>
        </w:rPr>
        <w:t>Опубликовать полную выписку с поступлениями и остатками, реестр начислений и агрегированную задолженность.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2.  </w:t>
      </w:r>
      <w:r>
        <w:rPr>
          <w:rFonts w:ascii="Arial" w:hAnsi="Arial" w:eastAsia="Arial"/>
          <w:sz w:val="19"/>
        </w:rPr>
        <w:t>Представить утвержденную смету 2026 года и все решения об изменениях/внеплановых расходах.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3.  </w:t>
      </w:r>
      <w:r>
        <w:rPr>
          <w:rFonts w:ascii="Arial" w:hAnsi="Arial" w:eastAsia="Arial"/>
          <w:sz w:val="19"/>
        </w:rPr>
        <w:t>Сверить коммунальные долги по месяцам и опубликовать график погашения.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4.  </w:t>
      </w:r>
      <w:r>
        <w:rPr>
          <w:rFonts w:ascii="Arial" w:hAnsi="Arial" w:eastAsia="Arial"/>
          <w:sz w:val="19"/>
        </w:rPr>
        <w:t>Приложить договоры, счета, акты и авансовые отчеты по операциям, отмеченным в отчете.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5.  </w:t>
      </w:r>
      <w:r>
        <w:rPr>
          <w:rFonts w:ascii="Arial" w:hAnsi="Arial" w:eastAsia="Arial"/>
          <w:sz w:val="19"/>
        </w:rPr>
        <w:t>Создать реестр кредиторской задолженности и денег, внесенных физическими лицами.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6.  </w:t>
      </w:r>
      <w:r>
        <w:rPr>
          <w:rFonts w:ascii="Arial" w:hAnsi="Arial" w:eastAsia="Arial"/>
          <w:sz w:val="19"/>
        </w:rPr>
        <w:t>Показывать по каждой крупной работе: что сделано, где, кем, стоимость, результат, акт или фото.</w:t>
      </w:r>
    </w:p>
    <w:p>
      <w:pPr>
        <w:spacing w:after="60"/>
        <w:ind w:left="369" w:hanging="312"/>
      </w:pPr>
      <w:r>
        <w:rPr>
          <w:rFonts w:ascii="Arial" w:hAnsi="Arial" w:eastAsia="Arial"/>
          <w:sz w:val="19"/>
        </w:rPr>
        <w:t xml:space="preserve">7.  </w:t>
      </w:r>
      <w:r>
        <w:rPr>
          <w:rFonts w:ascii="Arial" w:hAnsi="Arial" w:eastAsia="Arial"/>
          <w:sz w:val="19"/>
        </w:rPr>
        <w:t>Публиковать такой отчет каждые три месяца, не раскрывая персональные данные работников и должников.</w:t>
      </w:r>
    </w:p>
    <w:p>
      <w:pPr>
        <w:pStyle w:val="Heading2"/>
      </w:pPr>
      <w:r>
        <w:t>Показатели следующего полного отчета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453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Доходы и долги</w:t>
            </w:r>
          </w:p>
        </w:tc>
        <w:tc>
          <w:tcPr>
            <w:tcW w:type="dxa" w:w="4535"/>
            <w:shd w:fill="5B9BD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Расходы и обязательства</w:t>
            </w:r>
          </w:p>
        </w:tc>
      </w:tr>
      <w:tr>
        <w:trPr>
          <w:cantSplit/>
        </w:trPr>
        <w:tc>
          <w:tcPr>
            <w:tcW w:type="dxa" w:w="45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Начислено; поступило; собираемость; новый долг; общий долг; погашение старого долга.</w:t>
            </w:r>
          </w:p>
        </w:tc>
        <w:tc>
          <w:tcPr>
            <w:tcW w:type="dxa" w:w="4535"/>
            <w:tcBorders>
              <w:top w:val="single" w:sz="4" w:space="0" w:color="C7D2E0"/>
              <w:left w:val="single" w:sz="4" w:space="0" w:color="C7D2E0"/>
              <w:bottom w:val="single" w:sz="4" w:space="0" w:color="C7D2E0"/>
              <w:right w:val="single" w:sz="4" w:space="0" w:color="C7D2E0"/>
              <w:insideH w:val="single" w:sz="4" w:space="0" w:color="C7D2E0"/>
              <w:insideV w:val="single" w:sz="4" w:space="0" w:color="C7D2E0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color w:val="1F2937"/>
                <w:sz w:val="18"/>
              </w:rPr>
              <w:t>Кассовые расходы; стоимость услуг периода; план-факт; остаток денег; кредиторская задолженность; свободный остаток.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D9EAD3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  <w:insideH w:val="single" w:sz="8" w:space="0" w:color="70AD47"/>
              <w:insideV w:val="single" w:sz="8" w:space="0" w:color="70AD47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 w:eastAsia="Arial"/>
                <w:b/>
                <w:color w:val="1F2937"/>
                <w:sz w:val="20"/>
              </w:rPr>
              <w:t>Цель отчетности</w:t>
              <w:br/>
            </w:r>
            <w:r>
              <w:rPr>
                <w:rFonts w:ascii="Arial" w:hAnsi="Arial" w:eastAsia="Arial"/>
                <w:color w:val="1F2937"/>
                <w:sz w:val="19"/>
              </w:rPr>
              <w:t>Житель должен за несколько минут понять: сколько собрано, на что потрачено, что сделано, какие долги и обязательства остаются и достаточно ли средств для стабильной работы поселка.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color w:val="6B7280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4" w:color="5B9BD5"/>
      </w:pBdr>
    </w:pPr>
    <w:r>
      <w:rPr>
        <w:rFonts w:ascii="Arial" w:hAnsi="Arial" w:eastAsia="Arial"/>
        <w:color w:val="6B7280"/>
        <w:sz w:val="16"/>
      </w:rPr>
      <w:t>Публичный финансовый отчет ТСН «Фирсановка Лайф» • май—июль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F4E7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